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4F41FEA2" w14:textId="77777777" w:rsidR="00944BA9" w:rsidRPr="005768CE" w:rsidRDefault="00944BA9" w:rsidP="00944BA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ЗАХИРГААНЫ ХЭРЭГ ШҮҮХЭД ХЯНАН </w:t>
      </w:r>
    </w:p>
    <w:p w14:paraId="31D27394" w14:textId="77777777" w:rsidR="00944BA9" w:rsidRPr="005768CE" w:rsidRDefault="00944BA9" w:rsidP="00944BA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     ШИЙДВЭРЛЭХ ТУХАЙ ХУУЛЬД </w:t>
      </w:r>
    </w:p>
    <w:p w14:paraId="71A8CFBA" w14:textId="77777777" w:rsidR="00944BA9" w:rsidRPr="005768CE" w:rsidRDefault="00944BA9" w:rsidP="00944BA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     ӨӨРЧЛӨЛТ ОРУУЛАХ ТУХАЙ </w:t>
      </w:r>
    </w:p>
    <w:p w14:paraId="7436000A" w14:textId="77777777" w:rsidR="00944BA9" w:rsidRPr="005768CE" w:rsidRDefault="00944BA9" w:rsidP="00944BA9">
      <w:pPr>
        <w:spacing w:line="360" w:lineRule="auto"/>
        <w:contextualSpacing/>
        <w:jc w:val="center"/>
        <w:rPr>
          <w:rFonts w:ascii="Arial" w:hAnsi="Arial" w:cs="Arial"/>
          <w:b/>
          <w:bCs/>
          <w:noProof/>
          <w:color w:val="000000"/>
          <w:lang w:val="mn-MN"/>
        </w:rPr>
      </w:pPr>
    </w:p>
    <w:p w14:paraId="56AC6802" w14:textId="77777777" w:rsidR="00944BA9" w:rsidRPr="005768CE" w:rsidRDefault="00944BA9" w:rsidP="00944BA9">
      <w:pPr>
        <w:ind w:firstLine="720"/>
        <w:contextualSpacing/>
        <w:jc w:val="both"/>
        <w:rPr>
          <w:rFonts w:ascii="Arial" w:hAnsi="Arial" w:cs="Arial"/>
          <w:noProof/>
          <w:color w:val="000000"/>
          <w:lang w:val="mn-MN"/>
        </w:rPr>
      </w:pPr>
      <w:r w:rsidRPr="005768CE">
        <w:rPr>
          <w:rFonts w:ascii="Arial" w:hAnsi="Arial" w:cs="Arial"/>
          <w:b/>
          <w:bCs/>
          <w:noProof/>
          <w:color w:val="000000"/>
          <w:lang w:val="mn-MN"/>
        </w:rPr>
        <w:t>1 дүгээр зүйл.</w:t>
      </w:r>
      <w:r w:rsidRPr="005768CE">
        <w:rPr>
          <w:rFonts w:ascii="Arial" w:hAnsi="Arial" w:cs="Arial"/>
          <w:noProof/>
          <w:color w:val="000000"/>
          <w:lang w:val="mn-MN"/>
        </w:rPr>
        <w:t>Захиргааны хэрэг шүүхэд хянан шийдвэрлэх тухай хуулийн зарим хэсгийг доор дурдсанаар өөрчлөн найруулсугай:</w:t>
      </w:r>
    </w:p>
    <w:p w14:paraId="2F1EEF9E" w14:textId="77777777" w:rsidR="00944BA9" w:rsidRPr="005768CE" w:rsidRDefault="00944BA9" w:rsidP="00944BA9">
      <w:pPr>
        <w:ind w:firstLine="720"/>
        <w:contextualSpacing/>
        <w:jc w:val="both"/>
        <w:rPr>
          <w:rFonts w:ascii="Arial" w:hAnsi="Arial" w:cs="Arial"/>
          <w:noProof/>
          <w:color w:val="000000"/>
          <w:lang w:val="mn-MN"/>
        </w:rPr>
      </w:pPr>
    </w:p>
    <w:p w14:paraId="50DB4089" w14:textId="77777777" w:rsidR="00944BA9" w:rsidRPr="005768CE" w:rsidRDefault="00944BA9" w:rsidP="00944BA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1/84 дүгээр зүйлийн 84.5 дахь хэсэг:</w:t>
      </w:r>
    </w:p>
    <w:p w14:paraId="0647B432" w14:textId="77777777" w:rsidR="00944BA9" w:rsidRPr="005768CE" w:rsidRDefault="00944BA9" w:rsidP="00944BA9">
      <w:pPr>
        <w:ind w:firstLine="720"/>
        <w:contextualSpacing/>
        <w:jc w:val="both"/>
        <w:rPr>
          <w:rFonts w:ascii="Arial" w:hAnsi="Arial" w:cs="Arial"/>
          <w:noProof/>
          <w:color w:val="000000"/>
          <w:lang w:val="mn-MN"/>
        </w:rPr>
      </w:pPr>
    </w:p>
    <w:p w14:paraId="07D88F46" w14:textId="77777777" w:rsidR="00944BA9" w:rsidRPr="005768CE" w:rsidRDefault="00944BA9" w:rsidP="00944BA9">
      <w:pPr>
        <w:ind w:firstLine="720"/>
        <w:contextualSpacing/>
        <w:jc w:val="both"/>
        <w:rPr>
          <w:rFonts w:ascii="Arial" w:hAnsi="Arial" w:cs="Arial"/>
          <w:noProof/>
          <w:color w:val="000000"/>
          <w:lang w:val="mn-MN"/>
        </w:rPr>
      </w:pPr>
      <w:r w:rsidRPr="005768CE">
        <w:rPr>
          <w:rFonts w:ascii="Arial" w:hAnsi="Arial" w:cs="Arial"/>
          <w:noProof/>
          <w:color w:val="000000"/>
          <w:lang w:val="mn-MN"/>
        </w:rPr>
        <w:t>“84.5.Шинжээч нь Шүүх шинжилгээний тухай хуулийн 19.1-д заасан тохиолдолд дүгнэлт гаргахаас татгалзана.”</w:t>
      </w:r>
    </w:p>
    <w:p w14:paraId="19FD313F" w14:textId="77777777" w:rsidR="00944BA9" w:rsidRPr="005768CE" w:rsidRDefault="00944BA9" w:rsidP="00944BA9">
      <w:pPr>
        <w:ind w:firstLine="720"/>
        <w:contextualSpacing/>
        <w:jc w:val="both"/>
        <w:rPr>
          <w:rFonts w:ascii="Arial" w:hAnsi="Arial" w:cs="Arial"/>
          <w:noProof/>
          <w:color w:val="000000"/>
          <w:lang w:val="mn-MN"/>
        </w:rPr>
      </w:pPr>
    </w:p>
    <w:p w14:paraId="2156F5EF" w14:textId="77777777" w:rsidR="00944BA9" w:rsidRPr="005768CE" w:rsidRDefault="00944BA9" w:rsidP="00944BA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2/102 дугаар зүйлийн 102.3 дахь хэсэг:</w:t>
      </w:r>
    </w:p>
    <w:p w14:paraId="2025A692" w14:textId="77777777" w:rsidR="00944BA9" w:rsidRPr="005768CE" w:rsidRDefault="00944BA9" w:rsidP="00944BA9">
      <w:pPr>
        <w:ind w:firstLine="720"/>
        <w:contextualSpacing/>
        <w:jc w:val="both"/>
        <w:rPr>
          <w:rFonts w:ascii="Arial" w:hAnsi="Arial" w:cs="Arial"/>
          <w:noProof/>
          <w:color w:val="000000"/>
          <w:lang w:val="mn-MN"/>
        </w:rPr>
      </w:pPr>
    </w:p>
    <w:p w14:paraId="5F73F339" w14:textId="77777777" w:rsidR="00944BA9" w:rsidRPr="005768CE" w:rsidRDefault="00944BA9" w:rsidP="00944BA9">
      <w:pPr>
        <w:ind w:firstLine="720"/>
        <w:contextualSpacing/>
        <w:jc w:val="both"/>
        <w:rPr>
          <w:rFonts w:ascii="Arial" w:hAnsi="Arial" w:cs="Arial"/>
          <w:noProof/>
          <w:color w:val="000000"/>
          <w:lang w:val="mn-MN"/>
        </w:rPr>
      </w:pPr>
      <w:r w:rsidRPr="005768CE">
        <w:rPr>
          <w:rFonts w:ascii="Arial" w:hAnsi="Arial" w:cs="Arial"/>
          <w:noProof/>
          <w:color w:val="000000"/>
          <w:shd w:val="clear" w:color="auto" w:fill="FFFFFF"/>
          <w:lang w:val="mn-MN"/>
        </w:rPr>
        <w:t>“102.3.</w:t>
      </w:r>
      <w:r w:rsidRPr="005768CE">
        <w:rPr>
          <w:rFonts w:ascii="Arial" w:hAnsi="Arial" w:cs="Arial"/>
          <w:noProof/>
          <w:color w:val="000000"/>
          <w:lang w:val="mn-MN"/>
        </w:rPr>
        <w:t xml:space="preserve">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шинжилгээний тухай хуулийн 27, 28 дугаар зүйлд заасан нэмэлт, эсхүл дахин шинжилгээ </w:t>
      </w:r>
      <w:r w:rsidRPr="005768CE">
        <w:rPr>
          <w:rFonts w:ascii="Arial" w:hAnsi="Arial" w:cs="Arial"/>
          <w:noProof/>
          <w:color w:val="000000"/>
          <w:shd w:val="clear" w:color="auto" w:fill="FFFFFF"/>
          <w:lang w:val="mn-MN"/>
        </w:rPr>
        <w:t>хийлгэж болно.”</w:t>
      </w:r>
    </w:p>
    <w:p w14:paraId="7E46B6C8" w14:textId="77777777" w:rsidR="00944BA9" w:rsidRPr="005768CE" w:rsidRDefault="00944BA9" w:rsidP="00944BA9">
      <w:pPr>
        <w:contextualSpacing/>
        <w:jc w:val="both"/>
        <w:rPr>
          <w:rFonts w:ascii="Arial" w:hAnsi="Arial" w:cs="Arial"/>
          <w:b/>
          <w:bCs/>
          <w:noProof/>
          <w:color w:val="000000"/>
          <w:lang w:val="mn-MN"/>
        </w:rPr>
      </w:pPr>
    </w:p>
    <w:p w14:paraId="79DF1821" w14:textId="77777777" w:rsidR="00944BA9" w:rsidRPr="005768CE" w:rsidRDefault="00944BA9" w:rsidP="00944BA9">
      <w:pPr>
        <w:ind w:firstLine="720"/>
        <w:contextualSpacing/>
        <w:jc w:val="both"/>
        <w:rPr>
          <w:rFonts w:ascii="Arial" w:hAnsi="Arial" w:cs="Arial"/>
          <w:noProof/>
          <w:color w:val="000000"/>
          <w:lang w:val="mn-MN"/>
        </w:rPr>
      </w:pPr>
      <w:r w:rsidRPr="005768CE">
        <w:rPr>
          <w:rFonts w:ascii="Arial" w:hAnsi="Arial" w:cs="Arial"/>
          <w:b/>
          <w:bCs/>
          <w:noProof/>
          <w:color w:val="000000"/>
          <w:lang w:val="mn-MN"/>
        </w:rPr>
        <w:t>2 дугаар зүйл.</w:t>
      </w:r>
      <w:r w:rsidRPr="005768CE">
        <w:rPr>
          <w:rFonts w:ascii="Arial" w:hAnsi="Arial" w:cs="Arial"/>
          <w:noProof/>
          <w:color w:val="000000"/>
          <w:lang w:val="mn-MN"/>
        </w:rPr>
        <w:t>Захиргааны хэрэг шүүхэд хянан шийдвэрлэх тухай хуулийн 40 дүгээр зүйлийн 40.2 дахь хэсгийн “Шүүхийн” гэснийг “Шүүх” гэж өөрчилсүгэй.</w:t>
      </w:r>
    </w:p>
    <w:p w14:paraId="7EADA564" w14:textId="77777777" w:rsidR="00944BA9" w:rsidRPr="005768CE" w:rsidRDefault="00944BA9" w:rsidP="00944BA9">
      <w:pPr>
        <w:ind w:firstLine="720"/>
        <w:contextualSpacing/>
        <w:jc w:val="both"/>
        <w:rPr>
          <w:rFonts w:ascii="Arial" w:hAnsi="Arial" w:cs="Arial"/>
          <w:noProof/>
          <w:color w:val="000000"/>
          <w:lang w:val="mn-MN"/>
        </w:rPr>
      </w:pPr>
    </w:p>
    <w:p w14:paraId="66AEF3D3" w14:textId="77777777" w:rsidR="00944BA9" w:rsidRPr="005768CE" w:rsidRDefault="00944BA9" w:rsidP="00944BA9">
      <w:pPr>
        <w:ind w:firstLine="720"/>
        <w:contextualSpacing/>
        <w:jc w:val="both"/>
        <w:rPr>
          <w:rFonts w:ascii="Arial" w:hAnsi="Arial" w:cs="Arial"/>
          <w:b/>
          <w:bCs/>
          <w:noProof/>
          <w:color w:val="000000"/>
          <w:lang w:val="mn-MN"/>
        </w:rPr>
      </w:pPr>
      <w:r w:rsidRPr="005768CE">
        <w:rPr>
          <w:rFonts w:ascii="Arial" w:hAnsi="Arial" w:cs="Arial"/>
          <w:b/>
          <w:bCs/>
          <w:noProof/>
          <w:color w:val="000000"/>
          <w:lang w:val="mn-MN"/>
        </w:rPr>
        <w:t>3 дугаар зүйл.</w:t>
      </w:r>
      <w:r w:rsidRPr="005768CE">
        <w:rPr>
          <w:rFonts w:ascii="Arial" w:hAnsi="Arial" w:cs="Arial"/>
          <w:noProof/>
          <w:color w:val="000000"/>
          <w:lang w:val="mn-MN"/>
        </w:rPr>
        <w:t>Захиргааны хэрэг шүүхэд хянан шийдвэрлэх тухай хуулийн 84 дүгээр зүйлийн 84.3 дахь хэсгийн “шинжээч,” гэснийг хассугай.</w:t>
      </w:r>
    </w:p>
    <w:p w14:paraId="60CCC14A" w14:textId="77777777" w:rsidR="00944BA9" w:rsidRPr="005768CE" w:rsidRDefault="00944BA9" w:rsidP="00944BA9">
      <w:pPr>
        <w:ind w:firstLine="720"/>
        <w:contextualSpacing/>
        <w:jc w:val="both"/>
        <w:rPr>
          <w:rFonts w:ascii="Arial" w:hAnsi="Arial" w:cs="Arial"/>
          <w:b/>
          <w:bCs/>
          <w:noProof/>
          <w:color w:val="000000"/>
          <w:lang w:val="mn-MN"/>
        </w:rPr>
      </w:pPr>
    </w:p>
    <w:p w14:paraId="2A201358" w14:textId="77777777" w:rsidR="00944BA9" w:rsidRPr="005768CE" w:rsidRDefault="00944BA9" w:rsidP="00944BA9">
      <w:pPr>
        <w:ind w:firstLine="720"/>
        <w:contextualSpacing/>
        <w:jc w:val="both"/>
        <w:rPr>
          <w:rFonts w:ascii="Arial" w:hAnsi="Arial" w:cs="Arial"/>
          <w:noProof/>
          <w:color w:val="000000"/>
          <w:lang w:val="mn-MN"/>
        </w:rPr>
      </w:pPr>
      <w:r w:rsidRPr="005768CE">
        <w:rPr>
          <w:rFonts w:ascii="Arial" w:hAnsi="Arial" w:cs="Arial"/>
          <w:b/>
          <w:bCs/>
          <w:noProof/>
          <w:color w:val="000000"/>
          <w:lang w:val="mn-MN"/>
        </w:rPr>
        <w:t>4 дүгээр зүйл.</w:t>
      </w:r>
      <w:r w:rsidRPr="005768CE">
        <w:rPr>
          <w:rFonts w:ascii="Arial" w:hAnsi="Arial" w:cs="Arial"/>
          <w:noProof/>
          <w:color w:val="000000"/>
          <w:lang w:val="mn-MN"/>
        </w:rPr>
        <w:t xml:space="preserve">Энэ хуулийг Шүүх шинжилгээний тухай хууль /Шинэчилсэн найруулга/ хүчин төгөлдөр болсон өдрөөс эхлэн дагаж мөрдөнө. </w:t>
      </w:r>
    </w:p>
    <w:p w14:paraId="2B92DA2E" w14:textId="77777777" w:rsidR="00944BA9" w:rsidRPr="005768CE" w:rsidRDefault="00944BA9" w:rsidP="00944BA9">
      <w:pPr>
        <w:contextualSpacing/>
        <w:jc w:val="center"/>
        <w:rPr>
          <w:rFonts w:ascii="Arial" w:hAnsi="Arial" w:cs="Arial"/>
          <w:noProof/>
          <w:color w:val="000000"/>
          <w:lang w:val="mn-MN"/>
        </w:rPr>
      </w:pPr>
    </w:p>
    <w:p w14:paraId="3BC8EDEE" w14:textId="77777777" w:rsidR="00944BA9" w:rsidRPr="005768CE" w:rsidRDefault="00944BA9" w:rsidP="00944BA9">
      <w:pPr>
        <w:contextualSpacing/>
        <w:jc w:val="center"/>
        <w:rPr>
          <w:rFonts w:ascii="Arial" w:hAnsi="Arial" w:cs="Arial"/>
          <w:noProof/>
          <w:color w:val="000000"/>
          <w:lang w:val="mn-MN"/>
        </w:rPr>
      </w:pPr>
    </w:p>
    <w:p w14:paraId="265C876C" w14:textId="77777777" w:rsidR="00944BA9" w:rsidRPr="005768CE" w:rsidRDefault="00944BA9" w:rsidP="00944BA9">
      <w:pPr>
        <w:contextualSpacing/>
        <w:jc w:val="center"/>
        <w:rPr>
          <w:rFonts w:ascii="Arial" w:hAnsi="Arial" w:cs="Arial"/>
          <w:noProof/>
          <w:color w:val="000000"/>
          <w:lang w:val="mn-MN"/>
        </w:rPr>
      </w:pPr>
    </w:p>
    <w:p w14:paraId="46C40A68" w14:textId="77777777" w:rsidR="00944BA9" w:rsidRPr="005768CE" w:rsidRDefault="00944BA9" w:rsidP="00944BA9">
      <w:pPr>
        <w:contextualSpacing/>
        <w:jc w:val="center"/>
        <w:rPr>
          <w:rFonts w:ascii="Arial" w:hAnsi="Arial" w:cs="Arial"/>
          <w:noProof/>
          <w:color w:val="000000"/>
          <w:lang w:val="mn-MN"/>
        </w:rPr>
      </w:pPr>
    </w:p>
    <w:p w14:paraId="69D01F41" w14:textId="77777777" w:rsidR="00944BA9" w:rsidRPr="005768CE" w:rsidRDefault="00944BA9" w:rsidP="00944BA9">
      <w:pPr>
        <w:ind w:left="720" w:firstLine="720"/>
        <w:jc w:val="both"/>
        <w:rPr>
          <w:rFonts w:ascii="Arial" w:hAnsi="Arial" w:cs="Arial"/>
          <w:color w:val="000000"/>
          <w:lang w:val="mn-MN" w:eastAsia="en-029"/>
        </w:rPr>
      </w:pPr>
      <w:r w:rsidRPr="005768CE">
        <w:rPr>
          <w:rFonts w:ascii="Arial" w:hAnsi="Arial" w:cs="Arial"/>
          <w:color w:val="000000"/>
          <w:lang w:val="mn-MN" w:eastAsia="en-029"/>
        </w:rPr>
        <w:t>МОНГОЛ УЛСЫН</w:t>
      </w:r>
    </w:p>
    <w:p w14:paraId="52963B2E" w14:textId="5C05A788" w:rsidR="002C5A57" w:rsidRPr="001169E0" w:rsidRDefault="00944BA9" w:rsidP="00944BA9">
      <w:pPr>
        <w:ind w:left="720" w:firstLine="720"/>
        <w:jc w:val="both"/>
        <w:rPr>
          <w:rFonts w:ascii="Arial" w:hAnsi="Arial" w:cs="Arial"/>
          <w:color w:val="000000"/>
          <w:lang w:val="mn-MN" w:eastAsia="en-029"/>
        </w:rPr>
      </w:pPr>
      <w:r w:rsidRPr="005768CE">
        <w:rPr>
          <w:rFonts w:ascii="Arial" w:hAnsi="Arial" w:cs="Arial"/>
          <w:color w:val="000000"/>
          <w:lang w:val="mn-MN" w:eastAsia="en-029"/>
        </w:rPr>
        <w:t xml:space="preserve">ИХ ХУРЛЫН ДАРГА </w:t>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t>Г.ЗАНДАНШАТАР</w:t>
      </w:r>
    </w:p>
    <w:sectPr w:rsidR="002C5A57" w:rsidRPr="001169E0"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E106B"/>
    <w:rsid w:val="000E55F8"/>
    <w:rsid w:val="000F1DB7"/>
    <w:rsid w:val="000F5B2C"/>
    <w:rsid w:val="000F7333"/>
    <w:rsid w:val="000F7793"/>
    <w:rsid w:val="001009F7"/>
    <w:rsid w:val="0010182F"/>
    <w:rsid w:val="00115D89"/>
    <w:rsid w:val="001169E0"/>
    <w:rsid w:val="00120845"/>
    <w:rsid w:val="001253BD"/>
    <w:rsid w:val="00125B1A"/>
    <w:rsid w:val="001420D1"/>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2023-01-23T04:54:00Z</dcterms:created>
  <dcterms:modified xsi:type="dcterms:W3CDTF">2023-01-23T04:54:00Z</dcterms:modified>
</cp:coreProperties>
</file>