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43B66F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983708">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983708">
        <w:rPr>
          <w:rFonts w:ascii="Arial" w:hAnsi="Arial" w:cs="Arial"/>
          <w:color w:val="3366FF"/>
          <w:sz w:val="20"/>
          <w:szCs w:val="20"/>
          <w:u w:val="single"/>
          <w:lang w:val="ms-MY"/>
        </w:rPr>
        <w:t>05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83708">
        <w:rPr>
          <w:rFonts w:ascii="Arial" w:hAnsi="Arial" w:cs="Arial"/>
          <w:color w:val="3366FF"/>
          <w:sz w:val="20"/>
          <w:szCs w:val="20"/>
          <w:u w:val="single"/>
        </w:rPr>
        <w:t>01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063B819" w14:textId="77777777" w:rsidR="00983708" w:rsidRDefault="00983708" w:rsidP="006E2872">
      <w:pPr>
        <w:jc w:val="center"/>
        <w:rPr>
          <w:rFonts w:ascii="Arial" w:hAnsi="Arial" w:cs="Arial"/>
          <w:b/>
          <w:bCs/>
          <w:lang w:val="mn-MN"/>
        </w:rPr>
      </w:pPr>
    </w:p>
    <w:p w14:paraId="35E9E08E" w14:textId="77777777" w:rsidR="00983708" w:rsidRDefault="00983708" w:rsidP="006E2872">
      <w:pPr>
        <w:jc w:val="center"/>
        <w:rPr>
          <w:rFonts w:ascii="Arial" w:hAnsi="Arial" w:cs="Arial"/>
          <w:b/>
          <w:bCs/>
          <w:lang w:val="mn-MN"/>
        </w:rPr>
      </w:pPr>
    </w:p>
    <w:p w14:paraId="5578BF65" w14:textId="77777777" w:rsidR="00766412" w:rsidRPr="0071249B" w:rsidRDefault="00766412" w:rsidP="00766412">
      <w:pPr>
        <w:ind w:left="284"/>
        <w:jc w:val="center"/>
        <w:rPr>
          <w:rFonts w:cs="Arial"/>
          <w:b/>
          <w:bCs/>
          <w:lang w:val="mn-MN"/>
        </w:rPr>
      </w:pPr>
      <w:r w:rsidRPr="0071249B">
        <w:rPr>
          <w:rFonts w:cs="Arial"/>
          <w:b/>
          <w:bCs/>
          <w:lang w:val="mn-MN"/>
        </w:rPr>
        <w:t xml:space="preserve">  ГАЗРЫН ТОСНЫ ТУХАЙ ХУУЛЬД  </w:t>
      </w:r>
    </w:p>
    <w:p w14:paraId="1453642E" w14:textId="77777777" w:rsidR="00766412" w:rsidRPr="0071249B" w:rsidRDefault="00766412" w:rsidP="00766412">
      <w:pPr>
        <w:ind w:left="284"/>
        <w:jc w:val="center"/>
        <w:rPr>
          <w:rFonts w:cs="Arial"/>
          <w:b/>
          <w:bCs/>
          <w:lang w:val="mn-MN"/>
        </w:rPr>
      </w:pPr>
      <w:r w:rsidRPr="0071249B">
        <w:rPr>
          <w:rFonts w:cs="Arial"/>
          <w:b/>
          <w:bCs/>
          <w:lang w:val="mn-MN"/>
        </w:rPr>
        <w:t xml:space="preserve">  ӨӨРЧЛӨЛТ ОРУУЛАХ ТУХАЙ</w:t>
      </w:r>
    </w:p>
    <w:p w14:paraId="5E36EE0F" w14:textId="77777777" w:rsidR="00766412" w:rsidRPr="0071249B" w:rsidRDefault="00766412" w:rsidP="00766412">
      <w:pPr>
        <w:spacing w:line="360" w:lineRule="auto"/>
        <w:ind w:firstLine="567"/>
        <w:jc w:val="center"/>
        <w:rPr>
          <w:rFonts w:cs="Arial"/>
          <w:b/>
          <w:bCs/>
          <w:lang w:val="mn-MN"/>
        </w:rPr>
      </w:pPr>
    </w:p>
    <w:p w14:paraId="7C579BDF" w14:textId="77777777" w:rsidR="00766412" w:rsidRPr="0071249B" w:rsidRDefault="00766412" w:rsidP="00766412">
      <w:pPr>
        <w:ind w:firstLine="567"/>
        <w:jc w:val="both"/>
        <w:rPr>
          <w:rFonts w:cs="Arial"/>
          <w:bCs/>
          <w:lang w:val="mn-MN"/>
        </w:rPr>
      </w:pPr>
      <w:r w:rsidRPr="0071249B">
        <w:rPr>
          <w:rFonts w:cs="Arial"/>
          <w:b/>
          <w:bCs/>
          <w:lang w:val="mn-MN"/>
        </w:rPr>
        <w:t>1 дүгээр зүйл.</w:t>
      </w:r>
      <w:r w:rsidRPr="0071249B">
        <w:rPr>
          <w:rFonts w:cs="Arial"/>
          <w:bCs/>
          <w:lang w:val="mn-MN"/>
        </w:rPr>
        <w:t>Газрын тосны тухай хуулийн дараах хэсгийг  доор дурдсанаар өөрчлөн найруулсугай:</w:t>
      </w:r>
    </w:p>
    <w:p w14:paraId="4803C5D4" w14:textId="77777777" w:rsidR="00766412" w:rsidRPr="0071249B" w:rsidRDefault="00766412" w:rsidP="00766412">
      <w:pPr>
        <w:ind w:firstLine="567"/>
        <w:jc w:val="both"/>
        <w:rPr>
          <w:rFonts w:cs="Arial"/>
          <w:bCs/>
          <w:lang w:val="mn-MN"/>
        </w:rPr>
      </w:pPr>
    </w:p>
    <w:p w14:paraId="53C92DC1" w14:textId="77777777" w:rsidR="00766412" w:rsidRPr="0071249B" w:rsidRDefault="00766412" w:rsidP="00766412">
      <w:pPr>
        <w:ind w:left="720" w:firstLine="720"/>
        <w:jc w:val="both"/>
        <w:rPr>
          <w:rFonts w:cs="Arial"/>
          <w:b/>
          <w:bCs/>
          <w:lang w:val="mn-MN"/>
        </w:rPr>
      </w:pPr>
      <w:r w:rsidRPr="0071249B">
        <w:rPr>
          <w:rFonts w:cs="Arial"/>
          <w:b/>
          <w:bCs/>
          <w:lang w:val="mn-MN"/>
        </w:rPr>
        <w:t>1/37 дугаар зүйлийн 37.1-37.3 дахь хэсэг:</w:t>
      </w:r>
    </w:p>
    <w:p w14:paraId="67ED39D9" w14:textId="77777777" w:rsidR="00766412" w:rsidRPr="0071249B" w:rsidRDefault="00766412" w:rsidP="00766412">
      <w:pPr>
        <w:ind w:firstLine="567"/>
        <w:jc w:val="both"/>
        <w:rPr>
          <w:rFonts w:cs="Arial"/>
          <w:bCs/>
          <w:lang w:val="mn-MN"/>
        </w:rPr>
      </w:pPr>
    </w:p>
    <w:p w14:paraId="12D139E3" w14:textId="77777777" w:rsidR="00766412" w:rsidRPr="0071249B" w:rsidRDefault="00766412" w:rsidP="00766412">
      <w:pPr>
        <w:ind w:firstLine="567"/>
        <w:jc w:val="both"/>
        <w:rPr>
          <w:rFonts w:cs="Arial"/>
          <w:bCs/>
          <w:lang w:val="mn-MN"/>
        </w:rPr>
      </w:pPr>
      <w:r w:rsidRPr="0071249B">
        <w:rPr>
          <w:rFonts w:cs="Arial"/>
          <w:bCs/>
          <w:lang w:val="mn-MN"/>
        </w:rPr>
        <w:t>“37.1.Газрын тосны асуудал эрхэлсэн төрийн захиргааны байгууллага анхан шатны баримтад үндэслэн гэрээлэгчийн батлагдсан төлөвлөгөө, төсвийн дагуу гүйцэтгэсэн ажил, хөрөнгө оруулалт, өртөг нөхөгдсөн болон нөхөгдөх зардлын хэмжээ, газрын тосны экспорт, борлуулалтын орлогын тооцоо, хуваарилалтын болон санхүүгийн тайланг хянан шалгаж, дүгнэлт гаргасан тайлангаа төрийн аудитын байгууллагад хүргүүлнэ.</w:t>
      </w:r>
    </w:p>
    <w:p w14:paraId="7FA67D32" w14:textId="77777777" w:rsidR="00766412" w:rsidRPr="0071249B" w:rsidRDefault="00766412" w:rsidP="00766412">
      <w:pPr>
        <w:ind w:firstLine="567"/>
        <w:jc w:val="both"/>
        <w:rPr>
          <w:rFonts w:cs="Arial"/>
          <w:bCs/>
          <w:lang w:val="mn-MN"/>
        </w:rPr>
      </w:pPr>
    </w:p>
    <w:p w14:paraId="311DEF29" w14:textId="77777777" w:rsidR="00766412" w:rsidRPr="0071249B" w:rsidRDefault="00766412" w:rsidP="00766412">
      <w:pPr>
        <w:ind w:firstLine="567"/>
        <w:jc w:val="both"/>
        <w:rPr>
          <w:rFonts w:cs="Arial"/>
          <w:shd w:val="clear" w:color="auto" w:fill="FFFFFF"/>
          <w:lang w:val="mn-MN"/>
        </w:rPr>
      </w:pPr>
      <w:r w:rsidRPr="0071249B">
        <w:rPr>
          <w:rFonts w:cs="Arial"/>
          <w:bCs/>
          <w:lang w:val="mn-MN"/>
        </w:rPr>
        <w:t>37.2.Энэ хуулийн 37.1-д заасны дагуу төрийн захиргааны байгууллагаас ирүүлсэн тайлан, дүгнэлтэд төрийн аудитын байгууллага аудит хийж, баталгаажуулна.</w:t>
      </w:r>
    </w:p>
    <w:p w14:paraId="646CC572" w14:textId="77777777" w:rsidR="00766412" w:rsidRPr="0071249B" w:rsidRDefault="00766412" w:rsidP="00766412">
      <w:pPr>
        <w:ind w:firstLine="567"/>
        <w:jc w:val="both"/>
        <w:rPr>
          <w:rFonts w:cs="Arial"/>
          <w:shd w:val="clear" w:color="auto" w:fill="FFFFFF"/>
          <w:lang w:val="mn-MN"/>
        </w:rPr>
      </w:pPr>
    </w:p>
    <w:p w14:paraId="3BDF802E" w14:textId="77777777" w:rsidR="00766412" w:rsidRPr="0071249B" w:rsidRDefault="00766412" w:rsidP="00766412">
      <w:pPr>
        <w:ind w:firstLine="567"/>
        <w:jc w:val="both"/>
        <w:rPr>
          <w:rFonts w:cs="Arial"/>
          <w:shd w:val="clear" w:color="auto" w:fill="FFFFFF"/>
          <w:lang w:val="mn-MN"/>
        </w:rPr>
      </w:pPr>
      <w:r w:rsidRPr="0071249B">
        <w:rPr>
          <w:rFonts w:cs="Arial"/>
          <w:shd w:val="clear" w:color="auto" w:fill="FFFFFF"/>
          <w:lang w:val="mn-MN"/>
        </w:rPr>
        <w:t>37.3.Төрийн аудитын байгууллага энэ хуулийн 37.2-т заасан аудитыг гүйцэтгэхдээ хараат бус шинжээч, мэргэжилтэн, аудитын хуулийн этгээдийг оролцуулж болно.”</w:t>
      </w:r>
    </w:p>
    <w:p w14:paraId="08452F6B" w14:textId="77777777" w:rsidR="00766412" w:rsidRPr="0071249B" w:rsidRDefault="00766412" w:rsidP="00766412">
      <w:pPr>
        <w:jc w:val="both"/>
        <w:rPr>
          <w:rFonts w:cs="Arial"/>
          <w:bCs/>
          <w:lang w:val="mn-MN"/>
        </w:rPr>
      </w:pPr>
    </w:p>
    <w:p w14:paraId="6138D304" w14:textId="77777777" w:rsidR="00766412" w:rsidRPr="0071249B" w:rsidRDefault="00766412" w:rsidP="00766412">
      <w:pPr>
        <w:ind w:firstLine="567"/>
        <w:jc w:val="both"/>
        <w:rPr>
          <w:rFonts w:cs="Arial"/>
          <w:bCs/>
          <w:lang w:val="mn-MN"/>
        </w:rPr>
      </w:pPr>
      <w:r w:rsidRPr="0071249B">
        <w:rPr>
          <w:rFonts w:cs="Arial"/>
          <w:b/>
          <w:bCs/>
          <w:lang w:val="mn-MN"/>
        </w:rPr>
        <w:t>2 дугаар зүйл.</w:t>
      </w:r>
      <w:r w:rsidRPr="0071249B">
        <w:rPr>
          <w:rFonts w:cs="Arial"/>
          <w:bCs/>
          <w:lang w:val="mn-MN"/>
        </w:rPr>
        <w:t xml:space="preserve">Энэ хуулийг Төрийн аудитын тухай хууль /Шинэчилсэн найруулга/ хүчин төгөлдөр болсон өдрөөс эхлэн дагаж мөрдөнө. </w:t>
      </w:r>
    </w:p>
    <w:p w14:paraId="5C0434AA" w14:textId="77777777" w:rsidR="00766412" w:rsidRPr="0071249B" w:rsidRDefault="00766412" w:rsidP="00766412">
      <w:pPr>
        <w:ind w:firstLine="567"/>
        <w:jc w:val="both"/>
        <w:rPr>
          <w:rFonts w:cs="Arial"/>
          <w:bCs/>
          <w:lang w:val="mn-MN"/>
        </w:rPr>
      </w:pPr>
    </w:p>
    <w:p w14:paraId="28655366" w14:textId="77777777" w:rsidR="00766412" w:rsidRPr="0071249B" w:rsidRDefault="00766412" w:rsidP="00766412">
      <w:pPr>
        <w:ind w:firstLine="567"/>
        <w:jc w:val="both"/>
        <w:rPr>
          <w:rFonts w:cs="Arial"/>
          <w:bCs/>
          <w:lang w:val="mn-MN"/>
        </w:rPr>
      </w:pPr>
    </w:p>
    <w:p w14:paraId="523D2A46" w14:textId="77777777" w:rsidR="00766412" w:rsidRPr="0071249B" w:rsidRDefault="00766412" w:rsidP="00766412">
      <w:pPr>
        <w:ind w:firstLine="567"/>
        <w:jc w:val="both"/>
        <w:rPr>
          <w:rFonts w:cs="Arial"/>
          <w:bCs/>
          <w:lang w:val="mn-MN"/>
        </w:rPr>
      </w:pPr>
    </w:p>
    <w:p w14:paraId="0F8B9E71" w14:textId="77777777" w:rsidR="00766412" w:rsidRPr="0071249B" w:rsidRDefault="00766412" w:rsidP="00766412">
      <w:pPr>
        <w:ind w:firstLine="567"/>
        <w:jc w:val="both"/>
        <w:rPr>
          <w:rFonts w:cs="Arial"/>
          <w:bCs/>
          <w:lang w:val="mn-MN"/>
        </w:rPr>
      </w:pPr>
    </w:p>
    <w:p w14:paraId="7A4A14D0" w14:textId="77777777" w:rsidR="00766412" w:rsidRPr="0071249B" w:rsidRDefault="00766412" w:rsidP="00766412">
      <w:pPr>
        <w:ind w:firstLine="567"/>
        <w:jc w:val="both"/>
        <w:rPr>
          <w:rFonts w:cs="Arial"/>
          <w:bCs/>
          <w:lang w:val="mn-MN"/>
        </w:rPr>
      </w:pPr>
      <w:r w:rsidRPr="0071249B">
        <w:rPr>
          <w:rFonts w:cs="Arial"/>
          <w:bCs/>
          <w:lang w:val="mn-MN"/>
        </w:rPr>
        <w:tab/>
      </w:r>
      <w:r w:rsidRPr="0071249B">
        <w:rPr>
          <w:rFonts w:cs="Arial"/>
          <w:bCs/>
          <w:lang w:val="mn-MN"/>
        </w:rPr>
        <w:tab/>
        <w:t xml:space="preserve">МОНГОЛ УЛСЫН </w:t>
      </w:r>
    </w:p>
    <w:p w14:paraId="057C05D1" w14:textId="2715C017" w:rsidR="006C31FD" w:rsidRPr="00834E48" w:rsidRDefault="00766412" w:rsidP="00766412">
      <w:pPr>
        <w:ind w:firstLine="567"/>
        <w:jc w:val="both"/>
        <w:rPr>
          <w:rFonts w:cs="Arial"/>
          <w:bCs/>
          <w:lang w:val="mn-MN"/>
        </w:rPr>
      </w:pPr>
      <w:r w:rsidRPr="0071249B">
        <w:rPr>
          <w:rFonts w:cs="Arial"/>
          <w:bCs/>
          <w:lang w:val="mn-MN"/>
        </w:rPr>
        <w:tab/>
      </w:r>
      <w:r w:rsidRPr="0071249B">
        <w:rPr>
          <w:rFonts w:cs="Arial"/>
          <w:bCs/>
          <w:lang w:val="mn-MN"/>
        </w:rPr>
        <w:tab/>
        <w:t>ИХ ХУРЛЫН ДАРГА</w:t>
      </w:r>
      <w:r w:rsidRPr="0071249B">
        <w:rPr>
          <w:rFonts w:cs="Arial"/>
          <w:bCs/>
          <w:lang w:val="mn-MN"/>
        </w:rPr>
        <w:tab/>
      </w:r>
      <w:r w:rsidRPr="0071249B">
        <w:rPr>
          <w:rFonts w:cs="Arial"/>
          <w:bCs/>
          <w:lang w:val="mn-MN"/>
        </w:rPr>
        <w:tab/>
      </w:r>
      <w:r w:rsidRPr="0071249B">
        <w:rPr>
          <w:rFonts w:cs="Arial"/>
          <w:bCs/>
          <w:lang w:val="mn-MN"/>
        </w:rPr>
        <w:tab/>
        <w:t xml:space="preserve">         Г.ЗАНДАНШАТАР </w:t>
      </w:r>
      <w:bookmarkStart w:id="0" w:name="_GoBack"/>
      <w:bookmarkEnd w:id="0"/>
    </w:p>
    <w:sectPr w:rsidR="006C31FD" w:rsidRPr="00834E4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C5B70" w14:textId="77777777" w:rsidR="00FB2F6A" w:rsidRDefault="00FB2F6A">
      <w:r>
        <w:separator/>
      </w:r>
    </w:p>
  </w:endnote>
  <w:endnote w:type="continuationSeparator" w:id="0">
    <w:p w14:paraId="4A9A4E47" w14:textId="77777777" w:rsidR="00FB2F6A" w:rsidRDefault="00FB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6684D" w14:textId="77777777" w:rsidR="00FB2F6A" w:rsidRDefault="00FB2F6A">
      <w:r>
        <w:separator/>
      </w:r>
    </w:p>
  </w:footnote>
  <w:footnote w:type="continuationSeparator" w:id="0">
    <w:p w14:paraId="0E6F2C38" w14:textId="77777777" w:rsidR="00FB2F6A" w:rsidRDefault="00FB2F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6412"/>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34E48"/>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3708"/>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2F6A"/>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2020-05-15T08:56:00Z</dcterms:created>
  <dcterms:modified xsi:type="dcterms:W3CDTF">2020-05-15T08:56:00Z</dcterms:modified>
</cp:coreProperties>
</file>