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7CB329CE"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3B3624">
        <w:rPr>
          <w:rFonts w:ascii="Arial" w:hAnsi="Arial" w:cs="Arial"/>
          <w:color w:val="3366FF"/>
          <w:sz w:val="20"/>
          <w:szCs w:val="20"/>
          <w:u w:val="single"/>
          <w:lang w:val="ms-MY"/>
        </w:rPr>
        <w:t>0</w:t>
      </w:r>
      <w:r w:rsidR="00A23608">
        <w:rPr>
          <w:rFonts w:ascii="Arial" w:hAnsi="Arial" w:cs="Arial"/>
          <w:color w:val="3366FF"/>
          <w:sz w:val="20"/>
          <w:szCs w:val="20"/>
          <w:u w:val="single"/>
          <w:lang w:val="ms-MY"/>
        </w:rPr>
        <w:t>5</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C4411D">
        <w:rPr>
          <w:rFonts w:ascii="Arial" w:hAnsi="Arial" w:cs="Arial"/>
          <w:color w:val="3366FF"/>
          <w:sz w:val="20"/>
          <w:szCs w:val="20"/>
          <w:u w:val="single"/>
        </w:rPr>
        <w:t>1</w:t>
      </w:r>
      <w:r w:rsidR="00A23608">
        <w:rPr>
          <w:rFonts w:ascii="Arial" w:hAnsi="Arial" w:cs="Arial"/>
          <w:color w:val="3366FF"/>
          <w:sz w:val="20"/>
          <w:szCs w:val="20"/>
          <w:u w:val="single"/>
        </w:rPr>
        <w:t>6</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436EA0EA" w14:textId="2CD9AF3E" w:rsidR="00F7627E" w:rsidRDefault="00F7627E" w:rsidP="00F7627E">
      <w:pPr>
        <w:rPr>
          <w:lang w:val="mn-MN"/>
        </w:rPr>
      </w:pPr>
    </w:p>
    <w:p w14:paraId="3624A934" w14:textId="77777777" w:rsidR="006E54AD" w:rsidRPr="00F7627E" w:rsidRDefault="006E54AD" w:rsidP="00F7627E">
      <w:pPr>
        <w:rPr>
          <w:lang w:val="mn-MN"/>
        </w:rPr>
      </w:pPr>
    </w:p>
    <w:p w14:paraId="7D6F4C6E" w14:textId="77777777" w:rsidR="00CF19AC" w:rsidRPr="00FB2EAA" w:rsidRDefault="00CF19AC" w:rsidP="00CF19AC">
      <w:pPr>
        <w:jc w:val="center"/>
        <w:rPr>
          <w:rFonts w:ascii="Arial" w:hAnsi="Arial" w:cs="Arial"/>
          <w:b/>
          <w:color w:val="000000" w:themeColor="text1"/>
          <w:lang w:val="mn-MN"/>
        </w:rPr>
      </w:pPr>
      <w:r w:rsidRPr="00FB2EAA">
        <w:rPr>
          <w:rFonts w:ascii="Arial" w:hAnsi="Arial" w:cs="Arial"/>
          <w:b/>
          <w:color w:val="000000" w:themeColor="text1"/>
          <w:lang w:val="mn-MN"/>
        </w:rPr>
        <w:t>КОМПАНИЙН ТУХАЙ</w:t>
      </w:r>
      <w:r w:rsidRPr="00FB2EAA">
        <w:rPr>
          <w:rFonts w:ascii="Arial" w:hAnsi="Arial" w:cs="Arial"/>
          <w:color w:val="000000" w:themeColor="text1"/>
          <w:lang w:val="mn-MN"/>
        </w:rPr>
        <w:t xml:space="preserve"> </w:t>
      </w:r>
      <w:r w:rsidRPr="00FB2EAA">
        <w:rPr>
          <w:rFonts w:ascii="Arial" w:hAnsi="Arial" w:cs="Arial"/>
          <w:b/>
          <w:color w:val="000000" w:themeColor="text1"/>
          <w:lang w:val="mn-MN"/>
        </w:rPr>
        <w:t>ХУУЛЬД НЭМЭЛТ,</w:t>
      </w:r>
    </w:p>
    <w:p w14:paraId="31D40F8C" w14:textId="3EB89CC9" w:rsidR="00CF19AC" w:rsidRPr="00FB2EAA" w:rsidRDefault="00CF19AC" w:rsidP="00CF19AC">
      <w:pPr>
        <w:jc w:val="center"/>
        <w:rPr>
          <w:rFonts w:ascii="Arial" w:hAnsi="Arial" w:cs="Arial"/>
          <w:b/>
          <w:color w:val="000000" w:themeColor="text1"/>
          <w:lang w:val="mn-MN"/>
        </w:rPr>
      </w:pPr>
      <w:r w:rsidRPr="00FB2EAA">
        <w:rPr>
          <w:rFonts w:ascii="Arial" w:hAnsi="Arial" w:cs="Arial"/>
          <w:b/>
          <w:color w:val="000000" w:themeColor="text1"/>
          <w:lang w:val="mn-MN"/>
        </w:rPr>
        <w:t>ӨӨРЧЛӨЛТ ОРУУЛАХ ТУХАЙ</w:t>
      </w:r>
    </w:p>
    <w:p w14:paraId="2F6543CE" w14:textId="77777777" w:rsidR="00CF19AC" w:rsidRPr="00FB2EAA" w:rsidRDefault="00CF19AC" w:rsidP="00CF19AC">
      <w:pPr>
        <w:spacing w:line="360" w:lineRule="auto"/>
        <w:jc w:val="center"/>
        <w:rPr>
          <w:rFonts w:ascii="Arial" w:hAnsi="Arial" w:cs="Arial"/>
          <w:b/>
          <w:color w:val="000000" w:themeColor="text1"/>
          <w:lang w:val="mn-MN"/>
        </w:rPr>
      </w:pPr>
    </w:p>
    <w:p w14:paraId="5AE6F66C" w14:textId="77777777" w:rsidR="00CF19AC" w:rsidRPr="00FB2EAA" w:rsidRDefault="00CF19AC" w:rsidP="00CF19AC">
      <w:pPr>
        <w:ind w:firstLine="720"/>
        <w:jc w:val="both"/>
        <w:rPr>
          <w:rFonts w:ascii="Arial" w:hAnsi="Arial" w:cs="Arial"/>
          <w:color w:val="000000" w:themeColor="text1"/>
          <w:lang w:val="mn-MN"/>
        </w:rPr>
      </w:pPr>
      <w:r w:rsidRPr="00FB2EAA">
        <w:rPr>
          <w:rFonts w:ascii="Arial" w:hAnsi="Arial" w:cs="Arial"/>
          <w:b/>
          <w:bCs/>
          <w:color w:val="000000" w:themeColor="text1"/>
          <w:lang w:val="mn-MN"/>
        </w:rPr>
        <w:t>1 дүгээр зүйл.</w:t>
      </w:r>
      <w:r w:rsidRPr="00FB2EAA">
        <w:rPr>
          <w:rFonts w:ascii="Arial" w:hAnsi="Arial" w:cs="Arial"/>
          <w:color w:val="000000" w:themeColor="text1"/>
          <w:lang w:val="mn-MN"/>
        </w:rPr>
        <w:t>Компанийн тухай хуулийн</w:t>
      </w:r>
      <w:r w:rsidRPr="00FB2EAA">
        <w:rPr>
          <w:rFonts w:ascii="Arial" w:hAnsi="Arial" w:cs="Arial"/>
          <w:b/>
          <w:color w:val="000000" w:themeColor="text1"/>
          <w:lang w:val="mn-MN"/>
        </w:rPr>
        <w:t xml:space="preserve"> </w:t>
      </w:r>
      <w:r w:rsidRPr="00FB2EAA">
        <w:rPr>
          <w:rFonts w:ascii="Arial" w:hAnsi="Arial" w:cs="Arial"/>
          <w:color w:val="000000" w:themeColor="text1"/>
          <w:lang w:val="mn-MN"/>
        </w:rPr>
        <w:t>32 дугаар зүйлийн 32.1 дэх хэсгийн “хувьцаа нь” гэсний өмнө “Компанийн” гэж, 41 дүгээр зүйлийн 41.5 дахь хэсгийн “гаргасан” гэсний дараа “барьцаа,” гэж тус тус нэмсүгэй.</w:t>
      </w:r>
    </w:p>
    <w:p w14:paraId="69887D1A" w14:textId="77777777" w:rsidR="00CF19AC" w:rsidRPr="00FB2EAA" w:rsidRDefault="00CF19AC" w:rsidP="00CF19AC">
      <w:pPr>
        <w:ind w:firstLine="567"/>
        <w:jc w:val="both"/>
        <w:rPr>
          <w:rFonts w:ascii="Arial" w:hAnsi="Arial" w:cs="Arial"/>
          <w:color w:val="000000" w:themeColor="text1"/>
          <w:lang w:val="mn-MN"/>
        </w:rPr>
      </w:pPr>
    </w:p>
    <w:p w14:paraId="34342F8E" w14:textId="77777777" w:rsidR="00CF19AC" w:rsidRPr="00FB2EAA" w:rsidRDefault="00CF19AC" w:rsidP="00CF19AC">
      <w:pPr>
        <w:ind w:firstLine="720"/>
        <w:jc w:val="both"/>
        <w:rPr>
          <w:rFonts w:ascii="Arial" w:hAnsi="Arial" w:cs="Arial"/>
          <w:color w:val="000000" w:themeColor="text1"/>
          <w:lang w:val="mn-MN"/>
        </w:rPr>
      </w:pPr>
      <w:r w:rsidRPr="00FB2EAA">
        <w:rPr>
          <w:rFonts w:ascii="Arial" w:hAnsi="Arial" w:cs="Arial"/>
          <w:b/>
          <w:bCs/>
          <w:color w:val="000000" w:themeColor="text1"/>
          <w:lang w:val="mn-MN"/>
        </w:rPr>
        <w:t>2 дугаар зүйл.</w:t>
      </w:r>
      <w:r w:rsidRPr="00FB2EAA">
        <w:rPr>
          <w:rFonts w:ascii="Arial" w:hAnsi="Arial" w:cs="Arial"/>
          <w:color w:val="000000" w:themeColor="text1"/>
          <w:lang w:val="mn-MN"/>
        </w:rPr>
        <w:t>Компанийн тухай хуулийн дараах хэсгийг доор дурдсанаар өөрчлөн найруулсугай:</w:t>
      </w:r>
    </w:p>
    <w:p w14:paraId="51111DA5" w14:textId="77777777" w:rsidR="00CF19AC" w:rsidRPr="00FB2EAA" w:rsidRDefault="00CF19AC" w:rsidP="00CF19AC">
      <w:pPr>
        <w:ind w:firstLine="1134"/>
        <w:jc w:val="both"/>
        <w:rPr>
          <w:rFonts w:ascii="Arial" w:hAnsi="Arial" w:cs="Arial"/>
          <w:color w:val="000000" w:themeColor="text1"/>
          <w:lang w:val="mn-MN"/>
        </w:rPr>
      </w:pPr>
    </w:p>
    <w:p w14:paraId="18AB3296" w14:textId="77777777" w:rsidR="00CF19AC" w:rsidRPr="00FB2EAA" w:rsidRDefault="00CF19AC" w:rsidP="00CF19AC">
      <w:pPr>
        <w:ind w:left="306" w:firstLine="1134"/>
        <w:jc w:val="both"/>
        <w:rPr>
          <w:rFonts w:ascii="Arial" w:hAnsi="Arial" w:cs="Arial"/>
          <w:b/>
          <w:color w:val="000000" w:themeColor="text1"/>
          <w:lang w:val="mn-MN"/>
        </w:rPr>
      </w:pPr>
      <w:r w:rsidRPr="00FB2EAA">
        <w:rPr>
          <w:rFonts w:ascii="Arial" w:hAnsi="Arial" w:cs="Arial"/>
          <w:b/>
          <w:color w:val="000000" w:themeColor="text1"/>
          <w:lang w:val="mn-MN"/>
        </w:rPr>
        <w:t xml:space="preserve">1/3 дугаар зүйлийн 3.9 дэх хэсэг: </w:t>
      </w:r>
    </w:p>
    <w:p w14:paraId="7AC070B1" w14:textId="77777777" w:rsidR="00CF19AC" w:rsidRPr="00FB2EAA" w:rsidRDefault="00CF19AC" w:rsidP="00CF19AC">
      <w:pPr>
        <w:pStyle w:val="NormalWeb"/>
        <w:ind w:firstLine="720"/>
        <w:jc w:val="both"/>
        <w:rPr>
          <w:rFonts w:ascii="Arial" w:eastAsiaTheme="minorHAnsi" w:hAnsi="Arial" w:cs="Arial"/>
          <w:color w:val="000000" w:themeColor="text1"/>
          <w:lang w:val="mn-MN"/>
        </w:rPr>
      </w:pPr>
      <w:r w:rsidRPr="00FB2EAA">
        <w:rPr>
          <w:rFonts w:ascii="Arial" w:eastAsiaTheme="minorHAnsi" w:hAnsi="Arial" w:cs="Arial"/>
          <w:color w:val="000000" w:themeColor="text1"/>
          <w:lang w:val="mn-MN"/>
        </w:rPr>
        <w:t>“3.9.Хөрөнгө оруулалтын сан нь тусгай зориулалтын компани хэлбэртэй байж болно. Уг хэлбэрийн компанийн үйл ажиллагааны онцлогтой холбогдсон харилцааг Хөрөнгө оруулалтын сангийн тухай хуулиар зохицуулах бөгөөд хуульд өөрөөр заагаагүй бол энэ хуулийн зохицуулалт хамаарахгүй.”</w:t>
      </w:r>
    </w:p>
    <w:p w14:paraId="43B02C17" w14:textId="77777777" w:rsidR="00CF19AC" w:rsidRPr="00FB2EAA" w:rsidRDefault="00CF19AC" w:rsidP="00CF19AC">
      <w:pPr>
        <w:ind w:left="306" w:firstLine="1134"/>
        <w:jc w:val="both"/>
        <w:rPr>
          <w:rFonts w:ascii="Arial" w:hAnsi="Arial" w:cs="Arial"/>
          <w:b/>
          <w:color w:val="000000" w:themeColor="text1"/>
          <w:lang w:val="mn-MN"/>
        </w:rPr>
      </w:pPr>
      <w:r w:rsidRPr="00FB2EAA">
        <w:rPr>
          <w:rFonts w:ascii="Arial" w:hAnsi="Arial" w:cs="Arial"/>
          <w:b/>
          <w:color w:val="000000" w:themeColor="text1"/>
          <w:lang w:val="mn-MN"/>
        </w:rPr>
        <w:t>2/46 дугаар зүйлийн 46.14 дэх хэсэг:</w:t>
      </w:r>
    </w:p>
    <w:p w14:paraId="58983683" w14:textId="77777777" w:rsidR="00CF19AC" w:rsidRPr="00FB2EAA" w:rsidRDefault="00CF19AC" w:rsidP="00CF19AC">
      <w:pPr>
        <w:ind w:firstLine="720"/>
        <w:jc w:val="both"/>
        <w:rPr>
          <w:rFonts w:ascii="Arial" w:hAnsi="Arial" w:cs="Arial"/>
          <w:b/>
          <w:color w:val="000000" w:themeColor="text1"/>
          <w:lang w:val="mn-MN"/>
        </w:rPr>
      </w:pPr>
    </w:p>
    <w:p w14:paraId="6270165B" w14:textId="77777777" w:rsidR="00CF19AC" w:rsidRPr="00FB2EAA" w:rsidRDefault="00CF19AC" w:rsidP="00CF19AC">
      <w:pPr>
        <w:shd w:val="clear" w:color="auto" w:fill="FFFFFF"/>
        <w:spacing w:after="150" w:line="270" w:lineRule="atLeast"/>
        <w:ind w:firstLine="567"/>
        <w:jc w:val="both"/>
        <w:textAlignment w:val="top"/>
        <w:rPr>
          <w:rFonts w:ascii="Arial" w:hAnsi="Arial" w:cs="Arial"/>
          <w:color w:val="000000" w:themeColor="text1"/>
          <w:lang w:val="mn-MN"/>
        </w:rPr>
      </w:pPr>
      <w:r w:rsidRPr="00FB2EAA">
        <w:rPr>
          <w:rFonts w:ascii="Arial" w:hAnsi="Arial" w:cs="Arial"/>
          <w:color w:val="000000" w:themeColor="text1"/>
          <w:lang w:val="mn-MN"/>
        </w:rPr>
        <w:t>“46.14.Хувьцаат компанийн хувьд ногдол ашиг хуваарилахтай холбоотой харилцааг зохицуулсан журмыг Санхүүгийн зохицуулах хороо батална.”</w:t>
      </w:r>
    </w:p>
    <w:p w14:paraId="011687F0" w14:textId="77777777" w:rsidR="00CF19AC" w:rsidRPr="00FB2EAA" w:rsidRDefault="00CF19AC" w:rsidP="00CF19AC">
      <w:pPr>
        <w:spacing w:line="300" w:lineRule="atLeast"/>
        <w:ind w:left="306" w:firstLine="1134"/>
        <w:jc w:val="both"/>
        <w:rPr>
          <w:rStyle w:val="normaltextrun"/>
          <w:rFonts w:ascii="Arial" w:eastAsia="Arial" w:hAnsi="Arial" w:cs="Arial"/>
          <w:b/>
          <w:bCs/>
          <w:color w:val="000000" w:themeColor="text1"/>
          <w:lang w:val="mn-MN"/>
        </w:rPr>
      </w:pPr>
      <w:r w:rsidRPr="00FB2EAA">
        <w:rPr>
          <w:rStyle w:val="normaltextrun"/>
          <w:rFonts w:ascii="Arial" w:eastAsia="Arial" w:hAnsi="Arial" w:cs="Arial"/>
          <w:b/>
          <w:bCs/>
          <w:color w:val="000000" w:themeColor="text1"/>
          <w:lang w:val="mn-MN"/>
        </w:rPr>
        <w:t>3/86 дугаар зүйлийн 86.1 дэх хэсэг:</w:t>
      </w:r>
    </w:p>
    <w:p w14:paraId="5869C4B9" w14:textId="77777777" w:rsidR="00CF19AC" w:rsidRPr="00FB2EAA" w:rsidRDefault="00CF19AC" w:rsidP="00CF19AC">
      <w:pPr>
        <w:spacing w:line="300" w:lineRule="atLeast"/>
        <w:ind w:firstLine="720"/>
        <w:jc w:val="both"/>
        <w:rPr>
          <w:rStyle w:val="normaltextrun"/>
          <w:rFonts w:ascii="Arial" w:eastAsia="Arial" w:hAnsi="Arial" w:cs="Arial"/>
          <w:b/>
          <w:bCs/>
          <w:color w:val="000000" w:themeColor="text1"/>
          <w:lang w:val="mn-MN"/>
        </w:rPr>
      </w:pPr>
    </w:p>
    <w:p w14:paraId="6CACD26F" w14:textId="77777777" w:rsidR="00CF19AC" w:rsidRPr="00FB2EAA" w:rsidRDefault="00CF19AC" w:rsidP="00CF19AC">
      <w:pPr>
        <w:spacing w:line="300" w:lineRule="atLeast"/>
        <w:ind w:firstLine="720"/>
        <w:jc w:val="both"/>
        <w:rPr>
          <w:rStyle w:val="normaltextrun"/>
          <w:rFonts w:ascii="Arial" w:eastAsia="Arial" w:hAnsi="Arial" w:cs="Arial"/>
          <w:color w:val="000000" w:themeColor="text1"/>
          <w:lang w:val="mn-MN"/>
        </w:rPr>
      </w:pPr>
      <w:r w:rsidRPr="00FB2EAA">
        <w:rPr>
          <w:rStyle w:val="normaltextrun"/>
          <w:rFonts w:ascii="Arial" w:eastAsia="Arial" w:hAnsi="Arial" w:cs="Arial"/>
          <w:color w:val="000000" w:themeColor="text1"/>
          <w:lang w:val="mn-MN"/>
        </w:rPr>
        <w:t>“86.1.Компанийн хувьцаа эзэмшигч нь дангаараа</w:t>
      </w:r>
      <w:r w:rsidRPr="00FB2EAA">
        <w:rPr>
          <w:rStyle w:val="normaltextrun"/>
          <w:rFonts w:ascii="Arial" w:eastAsia="Arial" w:hAnsi="Arial" w:cs="Arial"/>
          <w:bCs/>
          <w:iCs/>
          <w:color w:val="000000" w:themeColor="text1"/>
          <w:lang w:val="mn-MN"/>
        </w:rPr>
        <w:t>,</w:t>
      </w:r>
      <w:r w:rsidRPr="00FB2EAA">
        <w:rPr>
          <w:rStyle w:val="normaltextrun"/>
          <w:rFonts w:ascii="Arial" w:eastAsia="Arial" w:hAnsi="Arial" w:cs="Arial"/>
          <w:color w:val="000000" w:themeColor="text1"/>
          <w:lang w:val="mn-MN"/>
        </w:rPr>
        <w:t xml:space="preserve"> эсхүл бусад хувьцаа эзэмшигчидтэй хамтран компанийн энгийн хувьцааны нэг буюу түүнээс дээш хувийг бүрдүүлж байгаа тохиолдолд компанид учруулсан хохирлыг компанийн эрх бүхий албан тушаалтнаар нөхөн төлүүлэхээр шүүхэд нэхэмжлэл гаргах эрхтэй.”</w:t>
      </w:r>
    </w:p>
    <w:p w14:paraId="3D11E0D7" w14:textId="77777777" w:rsidR="00CF19AC" w:rsidRPr="00FB2EAA" w:rsidRDefault="00CF19AC" w:rsidP="00CF19AC">
      <w:pPr>
        <w:spacing w:line="300" w:lineRule="atLeast"/>
        <w:ind w:firstLine="720"/>
        <w:jc w:val="both"/>
        <w:rPr>
          <w:rFonts w:ascii="Arial" w:eastAsia="Arial" w:hAnsi="Arial" w:cs="Arial"/>
          <w:color w:val="000000" w:themeColor="text1"/>
          <w:lang w:val="mn-MN"/>
        </w:rPr>
      </w:pPr>
    </w:p>
    <w:p w14:paraId="71EB5CF6" w14:textId="77777777" w:rsidR="00CF19AC" w:rsidRPr="00FB2EAA" w:rsidRDefault="00CF19AC" w:rsidP="00CF19AC">
      <w:pPr>
        <w:ind w:firstLine="720"/>
        <w:jc w:val="both"/>
        <w:rPr>
          <w:rFonts w:ascii="Arial" w:hAnsi="Arial" w:cs="Arial"/>
          <w:color w:val="000000" w:themeColor="text1"/>
          <w:lang w:val="mn-MN"/>
        </w:rPr>
      </w:pPr>
      <w:r w:rsidRPr="00FB2EAA">
        <w:rPr>
          <w:rFonts w:ascii="Arial" w:hAnsi="Arial" w:cs="Arial"/>
          <w:b/>
          <w:bCs/>
          <w:color w:val="000000" w:themeColor="text1"/>
          <w:lang w:val="mn-MN"/>
        </w:rPr>
        <w:t>3 дугаар зүйл.</w:t>
      </w:r>
      <w:r w:rsidRPr="00FB2EAA">
        <w:rPr>
          <w:rFonts w:ascii="Arial" w:hAnsi="Arial" w:cs="Arial"/>
          <w:color w:val="000000" w:themeColor="text1"/>
          <w:lang w:val="mn-MN"/>
        </w:rPr>
        <w:t>Компанийн тухай хуулийн 32 дугаар зүйлийн 32.1 дэх хэсгийн “Үнэт цаасны зах зээлийн тухай хуульд заасны дагуу</w:t>
      </w:r>
      <w:r w:rsidRPr="00FB2EAA">
        <w:rPr>
          <w:rFonts w:ascii="Arial" w:hAnsi="Arial" w:cs="Arial"/>
          <w:b/>
          <w:color w:val="000000" w:themeColor="text1"/>
          <w:lang w:val="mn-MN"/>
        </w:rPr>
        <w:t xml:space="preserve"> </w:t>
      </w:r>
      <w:r w:rsidRPr="00FB2EAA">
        <w:rPr>
          <w:rFonts w:ascii="Arial" w:hAnsi="Arial" w:cs="Arial"/>
          <w:color w:val="000000" w:themeColor="text1"/>
          <w:lang w:val="mn-MN"/>
        </w:rPr>
        <w:t>компанийн” гэснийг, 41 дүгээр зүйлийн 41.1 дэх хэсгийн “өөрийн хөрөнгийн хэмжээгээр барьцаалан” гэснийг тус тус хассугай.</w:t>
      </w:r>
    </w:p>
    <w:p w14:paraId="6D5A46CB" w14:textId="77777777" w:rsidR="00CF19AC" w:rsidRPr="00FB2EAA" w:rsidRDefault="00CF19AC" w:rsidP="00CF19AC">
      <w:pPr>
        <w:ind w:firstLine="567"/>
        <w:jc w:val="both"/>
        <w:rPr>
          <w:rFonts w:ascii="Arial" w:hAnsi="Arial" w:cs="Arial"/>
          <w:color w:val="000000" w:themeColor="text1"/>
          <w:lang w:val="mn-MN"/>
        </w:rPr>
      </w:pPr>
      <w:r w:rsidRPr="00FB2EAA">
        <w:rPr>
          <w:rFonts w:ascii="Arial" w:hAnsi="Arial" w:cs="Arial"/>
          <w:color w:val="000000" w:themeColor="text1"/>
          <w:lang w:val="mn-MN"/>
        </w:rPr>
        <w:tab/>
      </w:r>
    </w:p>
    <w:p w14:paraId="3B5ADCA5" w14:textId="77777777" w:rsidR="00CF19AC" w:rsidRPr="00FB2EAA" w:rsidRDefault="00CF19AC" w:rsidP="00CF19AC">
      <w:pPr>
        <w:ind w:firstLine="720"/>
        <w:jc w:val="both"/>
        <w:rPr>
          <w:rFonts w:ascii="Arial" w:hAnsi="Arial" w:cs="Arial"/>
          <w:color w:val="000000" w:themeColor="text1"/>
          <w:lang w:val="mn-MN"/>
        </w:rPr>
      </w:pPr>
      <w:r w:rsidRPr="00FB2EAA">
        <w:rPr>
          <w:rFonts w:ascii="Arial" w:hAnsi="Arial" w:cs="Arial"/>
          <w:b/>
          <w:bCs/>
          <w:color w:val="000000" w:themeColor="text1"/>
          <w:lang w:val="mn-MN"/>
        </w:rPr>
        <w:t>4 дүгээр зүйл.</w:t>
      </w:r>
      <w:r w:rsidRPr="00FB2EAA">
        <w:rPr>
          <w:rFonts w:ascii="Arial" w:hAnsi="Arial" w:cs="Arial"/>
          <w:color w:val="000000" w:themeColor="text1"/>
          <w:lang w:val="mn-MN"/>
        </w:rPr>
        <w:t>Энэ хуулийг Үнэт цаасны зах зээлийн тухай хуульд нэмэлт, өөрчлөлт оруулах тухай хууль хүчин төгөлдөр болсон өдрөөс эхлэн дагаж мөрдөнө.</w:t>
      </w:r>
    </w:p>
    <w:p w14:paraId="27CF8C5F" w14:textId="77777777" w:rsidR="00CF19AC" w:rsidRPr="00FB2EAA" w:rsidRDefault="00CF19AC" w:rsidP="00CF19AC">
      <w:pPr>
        <w:ind w:firstLine="567"/>
        <w:jc w:val="both"/>
        <w:rPr>
          <w:rFonts w:ascii="Arial" w:hAnsi="Arial" w:cs="Arial"/>
          <w:color w:val="000000" w:themeColor="text1"/>
          <w:lang w:val="mn-MN"/>
        </w:rPr>
      </w:pPr>
    </w:p>
    <w:p w14:paraId="6048D79A" w14:textId="77777777" w:rsidR="00CF19AC" w:rsidRPr="00FB2EAA" w:rsidRDefault="00CF19AC" w:rsidP="00CF19AC">
      <w:pPr>
        <w:ind w:firstLine="709"/>
        <w:jc w:val="both"/>
        <w:rPr>
          <w:rFonts w:ascii="Arial" w:hAnsi="Arial" w:cs="Arial"/>
          <w:color w:val="000000" w:themeColor="text1"/>
          <w:lang w:val="mn-MN"/>
        </w:rPr>
      </w:pPr>
    </w:p>
    <w:p w14:paraId="65840689" w14:textId="77777777" w:rsidR="00CF19AC" w:rsidRPr="00FB2EAA" w:rsidRDefault="00CF19AC" w:rsidP="00CF19AC">
      <w:pPr>
        <w:ind w:left="720" w:firstLine="720"/>
        <w:jc w:val="both"/>
        <w:rPr>
          <w:rFonts w:ascii="Arial" w:hAnsi="Arial" w:cs="Arial"/>
          <w:bCs/>
          <w:color w:val="000000" w:themeColor="text1"/>
          <w:lang w:val="mn-MN"/>
        </w:rPr>
      </w:pPr>
      <w:r w:rsidRPr="00FB2EAA">
        <w:rPr>
          <w:rFonts w:ascii="Arial" w:hAnsi="Arial" w:cs="Arial"/>
          <w:bCs/>
          <w:color w:val="000000" w:themeColor="text1"/>
          <w:lang w:val="mn-MN"/>
        </w:rPr>
        <w:t xml:space="preserve">МОНГОЛ УЛСЫН </w:t>
      </w:r>
    </w:p>
    <w:p w14:paraId="14FB9C93" w14:textId="77777777" w:rsidR="00CF19AC" w:rsidRPr="00FB2EAA" w:rsidRDefault="00CF19AC" w:rsidP="00CF19AC">
      <w:pPr>
        <w:ind w:left="720" w:firstLine="720"/>
        <w:jc w:val="both"/>
        <w:rPr>
          <w:rFonts w:ascii="Arial" w:hAnsi="Arial" w:cs="Arial"/>
          <w:bCs/>
          <w:color w:val="000000" w:themeColor="text1"/>
          <w:lang w:val="mn-MN"/>
        </w:rPr>
      </w:pPr>
      <w:r w:rsidRPr="00FB2EAA">
        <w:rPr>
          <w:rFonts w:ascii="Arial" w:hAnsi="Arial" w:cs="Arial"/>
          <w:bCs/>
          <w:color w:val="000000" w:themeColor="text1"/>
          <w:lang w:val="mn-MN"/>
        </w:rPr>
        <w:t xml:space="preserve">ИХ ХУРЛЫН ДАРГА </w:t>
      </w:r>
      <w:r w:rsidRPr="00FB2EAA">
        <w:rPr>
          <w:rFonts w:ascii="Arial" w:hAnsi="Arial" w:cs="Arial"/>
          <w:bCs/>
          <w:color w:val="000000" w:themeColor="text1"/>
          <w:lang w:val="mn-MN"/>
        </w:rPr>
        <w:tab/>
      </w:r>
      <w:r w:rsidRPr="00FB2EAA">
        <w:rPr>
          <w:rFonts w:ascii="Arial" w:hAnsi="Arial" w:cs="Arial"/>
          <w:bCs/>
          <w:color w:val="000000" w:themeColor="text1"/>
          <w:lang w:val="mn-MN"/>
        </w:rPr>
        <w:tab/>
      </w:r>
      <w:r w:rsidRPr="00FB2EAA">
        <w:rPr>
          <w:rFonts w:ascii="Arial" w:hAnsi="Arial" w:cs="Arial"/>
          <w:bCs/>
          <w:color w:val="000000" w:themeColor="text1"/>
          <w:lang w:val="mn-MN"/>
        </w:rPr>
        <w:tab/>
      </w:r>
      <w:r w:rsidRPr="00FB2EAA">
        <w:rPr>
          <w:rFonts w:ascii="Arial" w:hAnsi="Arial" w:cs="Arial"/>
          <w:bCs/>
          <w:color w:val="000000" w:themeColor="text1"/>
          <w:lang w:val="mn-MN"/>
        </w:rPr>
        <w:tab/>
        <w:t>Г.ЗАНДАНШАТАР</w:t>
      </w:r>
    </w:p>
    <w:p w14:paraId="4115BC73" w14:textId="77777777" w:rsidR="00D9760B" w:rsidRPr="00D9760B" w:rsidRDefault="00D9760B" w:rsidP="00CF19AC">
      <w:pPr>
        <w:jc w:val="center"/>
        <w:rPr>
          <w:rFonts w:ascii="Arial" w:hAnsi="Arial" w:cs="Arial"/>
          <w:b/>
          <w:lang w:val="mn-MN"/>
        </w:rPr>
      </w:pPr>
    </w:p>
    <w:sectPr w:rsidR="00D9760B" w:rsidRPr="00D9760B"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A317B"/>
    <w:rsid w:val="000F5834"/>
    <w:rsid w:val="00100391"/>
    <w:rsid w:val="001571B2"/>
    <w:rsid w:val="001D7A86"/>
    <w:rsid w:val="001F15D4"/>
    <w:rsid w:val="00203D30"/>
    <w:rsid w:val="002337B8"/>
    <w:rsid w:val="002775D1"/>
    <w:rsid w:val="00281473"/>
    <w:rsid w:val="002C5FE9"/>
    <w:rsid w:val="002D30FA"/>
    <w:rsid w:val="002E2D43"/>
    <w:rsid w:val="002E2DFE"/>
    <w:rsid w:val="002F5EF7"/>
    <w:rsid w:val="00305804"/>
    <w:rsid w:val="00322724"/>
    <w:rsid w:val="00350715"/>
    <w:rsid w:val="003667A6"/>
    <w:rsid w:val="003B0E31"/>
    <w:rsid w:val="003B3624"/>
    <w:rsid w:val="003C3224"/>
    <w:rsid w:val="003C753E"/>
    <w:rsid w:val="003C7AC0"/>
    <w:rsid w:val="00447A0C"/>
    <w:rsid w:val="004846CD"/>
    <w:rsid w:val="00484D4E"/>
    <w:rsid w:val="004A0BC9"/>
    <w:rsid w:val="004C3DFD"/>
    <w:rsid w:val="004C75FE"/>
    <w:rsid w:val="00547CED"/>
    <w:rsid w:val="00577297"/>
    <w:rsid w:val="0058334D"/>
    <w:rsid w:val="005E12C7"/>
    <w:rsid w:val="00602A4E"/>
    <w:rsid w:val="00611213"/>
    <w:rsid w:val="006133A1"/>
    <w:rsid w:val="006265A2"/>
    <w:rsid w:val="006A118A"/>
    <w:rsid w:val="006B4A52"/>
    <w:rsid w:val="006D6C4E"/>
    <w:rsid w:val="006E54AD"/>
    <w:rsid w:val="006F6523"/>
    <w:rsid w:val="007A7E2F"/>
    <w:rsid w:val="007B62FE"/>
    <w:rsid w:val="007D0BDC"/>
    <w:rsid w:val="007E47E5"/>
    <w:rsid w:val="007E53B2"/>
    <w:rsid w:val="00826556"/>
    <w:rsid w:val="00846A57"/>
    <w:rsid w:val="00887A9E"/>
    <w:rsid w:val="008C4A7F"/>
    <w:rsid w:val="008F3A57"/>
    <w:rsid w:val="00962FCC"/>
    <w:rsid w:val="009657E3"/>
    <w:rsid w:val="009E2693"/>
    <w:rsid w:val="009E4A90"/>
    <w:rsid w:val="009F0B5F"/>
    <w:rsid w:val="009F4D78"/>
    <w:rsid w:val="00A02066"/>
    <w:rsid w:val="00A23608"/>
    <w:rsid w:val="00AB5E1C"/>
    <w:rsid w:val="00AC07C8"/>
    <w:rsid w:val="00AC7699"/>
    <w:rsid w:val="00AE77C8"/>
    <w:rsid w:val="00B00A67"/>
    <w:rsid w:val="00B0601D"/>
    <w:rsid w:val="00B53926"/>
    <w:rsid w:val="00B9695E"/>
    <w:rsid w:val="00BB49E7"/>
    <w:rsid w:val="00BE7303"/>
    <w:rsid w:val="00BE7AB2"/>
    <w:rsid w:val="00C239BD"/>
    <w:rsid w:val="00C43EA2"/>
    <w:rsid w:val="00C4411D"/>
    <w:rsid w:val="00C44F65"/>
    <w:rsid w:val="00C5156F"/>
    <w:rsid w:val="00C53677"/>
    <w:rsid w:val="00C84F84"/>
    <w:rsid w:val="00CF19AC"/>
    <w:rsid w:val="00D01211"/>
    <w:rsid w:val="00D1611E"/>
    <w:rsid w:val="00D67B18"/>
    <w:rsid w:val="00D826EA"/>
    <w:rsid w:val="00D85ED6"/>
    <w:rsid w:val="00D9760B"/>
    <w:rsid w:val="00DC6D45"/>
    <w:rsid w:val="00E02906"/>
    <w:rsid w:val="00E0635D"/>
    <w:rsid w:val="00E263C0"/>
    <w:rsid w:val="00E700AE"/>
    <w:rsid w:val="00E71E52"/>
    <w:rsid w:val="00EB362E"/>
    <w:rsid w:val="00ED6C13"/>
    <w:rsid w:val="00F52378"/>
    <w:rsid w:val="00F6489F"/>
    <w:rsid w:val="00F73712"/>
    <w:rsid w:val="00F7627E"/>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normaltextrun1">
    <w:name w:val="normaltextrun1"/>
    <w:basedOn w:val="DefaultParagraphFont"/>
    <w:rsid w:val="00E71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2023-11-03T01:31:00Z</cp:lastPrinted>
  <dcterms:created xsi:type="dcterms:W3CDTF">2024-06-12T04:29:00Z</dcterms:created>
  <dcterms:modified xsi:type="dcterms:W3CDTF">2024-06-12T04:29:00Z</dcterms:modified>
</cp:coreProperties>
</file>