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BD9" w:rsidRPr="00ED3BD9" w:rsidRDefault="00ED3BD9" w:rsidP="00ED3BD9">
      <w:pPr>
        <w:spacing w:after="0" w:line="240" w:lineRule="auto"/>
        <w:ind w:right="-357"/>
        <w:jc w:val="center"/>
        <w:rPr>
          <w:rFonts w:ascii="Arial" w:eastAsia="Times New Roman" w:hAnsi="Arial" w:cs="Arial"/>
          <w:b/>
          <w:bCs/>
          <w:color w:val="3366FF"/>
          <w:sz w:val="32"/>
          <w:szCs w:val="32"/>
          <w:lang w:val="ms-MY"/>
        </w:rPr>
      </w:pPr>
      <w:r>
        <w:rPr>
          <w:rFonts w:ascii="Arial" w:eastAsia="Times New Roman" w:hAnsi="Arial" w:cs="Arial"/>
          <w:b/>
          <w:bCs/>
          <w:noProof/>
          <w:color w:val="3366FF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2457450</wp:posOffset>
            </wp:positionH>
            <wp:positionV relativeFrom="paragraph">
              <wp:posOffset>-516255</wp:posOffset>
            </wp:positionV>
            <wp:extent cx="1038225" cy="11430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3BD9" w:rsidRPr="00ED3BD9" w:rsidRDefault="00ED3BD9" w:rsidP="00ED3BD9">
      <w:pPr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b/>
          <w:bCs/>
          <w:color w:val="3366FF"/>
          <w:sz w:val="32"/>
          <w:szCs w:val="32"/>
          <w:lang w:val="ms-MY"/>
        </w:rPr>
      </w:pPr>
    </w:p>
    <w:p w:rsidR="00ED3BD9" w:rsidRPr="00ED3BD9" w:rsidRDefault="00ED3BD9" w:rsidP="00ED3BD9">
      <w:pPr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b/>
          <w:bCs/>
          <w:color w:val="3366FF"/>
          <w:sz w:val="32"/>
          <w:szCs w:val="32"/>
          <w:lang w:val="ms-MY"/>
        </w:rPr>
      </w:pPr>
    </w:p>
    <w:p w:rsidR="00ED3BD9" w:rsidRPr="00ED3BD9" w:rsidRDefault="00ED3BD9" w:rsidP="00ED3BD9">
      <w:pPr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color w:val="3366FF"/>
          <w:sz w:val="32"/>
          <w:szCs w:val="32"/>
          <w:lang w:val="ms-MY"/>
        </w:rPr>
      </w:pPr>
      <w:r w:rsidRPr="00ED3BD9">
        <w:rPr>
          <w:rFonts w:ascii="Times New Roman" w:eastAsia="Times New Roman" w:hAnsi="Times New Roman" w:cs="Times New Roman"/>
          <w:b/>
          <w:bCs/>
          <w:color w:val="3366FF"/>
          <w:sz w:val="32"/>
          <w:szCs w:val="32"/>
          <w:lang w:val="ms-MY"/>
        </w:rPr>
        <w:t>МОНГОЛ УЛСЫН ХУУЛЬ</w:t>
      </w:r>
    </w:p>
    <w:p w:rsidR="00ED3BD9" w:rsidRPr="00ED3BD9" w:rsidRDefault="00ED3BD9" w:rsidP="00ED3BD9">
      <w:pPr>
        <w:spacing w:after="0" w:line="240" w:lineRule="auto"/>
        <w:jc w:val="both"/>
        <w:rPr>
          <w:rFonts w:ascii="Arial" w:eastAsia="Times New Roman" w:hAnsi="Arial" w:cs="Arial"/>
          <w:color w:val="3366FF"/>
          <w:sz w:val="24"/>
          <w:szCs w:val="24"/>
          <w:lang w:val="ms-MY"/>
        </w:rPr>
      </w:pPr>
    </w:p>
    <w:p w:rsidR="00ED3BD9" w:rsidRPr="00ED3BD9" w:rsidRDefault="00ED3BD9" w:rsidP="00ED3BD9">
      <w:pPr>
        <w:spacing w:after="0" w:line="240" w:lineRule="auto"/>
        <w:jc w:val="both"/>
        <w:rPr>
          <w:rFonts w:ascii="Arial" w:eastAsia="Times New Roman" w:hAnsi="Arial" w:cs="Arial"/>
          <w:color w:val="3366FF"/>
          <w:sz w:val="20"/>
          <w:szCs w:val="20"/>
          <w:lang w:val="ms-MY"/>
        </w:rPr>
      </w:pPr>
      <w:r w:rsidRPr="00ED3BD9">
        <w:rPr>
          <w:rFonts w:ascii="Arial" w:eastAsia="Times New Roman" w:hAnsi="Arial" w:cs="Arial"/>
          <w:color w:val="3366FF"/>
          <w:sz w:val="20"/>
          <w:szCs w:val="20"/>
          <w:u w:val="single"/>
          <w:lang w:val="ms-MY"/>
        </w:rPr>
        <w:t>202</w:t>
      </w:r>
      <w:r w:rsidRPr="00ED3BD9">
        <w:rPr>
          <w:rFonts w:ascii="Arial" w:eastAsia="Times New Roman" w:hAnsi="Arial" w:cs="Arial"/>
          <w:color w:val="3366FF"/>
          <w:sz w:val="20"/>
          <w:szCs w:val="20"/>
          <w:u w:val="single"/>
          <w:lang w:val="mn-MN"/>
        </w:rPr>
        <w:t>4</w:t>
      </w:r>
      <w:r w:rsidRPr="00ED3BD9">
        <w:rPr>
          <w:rFonts w:ascii="Arial" w:eastAsia="Times New Roman" w:hAnsi="Arial" w:cs="Arial"/>
          <w:color w:val="3366FF"/>
          <w:sz w:val="20"/>
          <w:szCs w:val="20"/>
          <w:lang w:val="ms-MY"/>
        </w:rPr>
        <w:t xml:space="preserve"> </w:t>
      </w:r>
      <w:r w:rsidRPr="00ED3BD9">
        <w:rPr>
          <w:rFonts w:ascii="Arial" w:eastAsia="Times New Roman" w:hAnsi="Arial" w:cs="Arial"/>
          <w:color w:val="3366FF"/>
          <w:sz w:val="20"/>
          <w:szCs w:val="20"/>
          <w:lang w:val="mn-MN"/>
        </w:rPr>
        <w:t>о</w:t>
      </w:r>
      <w:r w:rsidRPr="00ED3BD9">
        <w:rPr>
          <w:rFonts w:ascii="Arial" w:eastAsia="Times New Roman" w:hAnsi="Arial" w:cs="Arial"/>
          <w:color w:val="3366FF"/>
          <w:sz w:val="20"/>
          <w:szCs w:val="20"/>
          <w:lang w:val="ms-MY"/>
        </w:rPr>
        <w:t xml:space="preserve">ны </w:t>
      </w:r>
      <w:r w:rsidRPr="00ED3BD9">
        <w:rPr>
          <w:rFonts w:ascii="Arial" w:eastAsia="Times New Roman" w:hAnsi="Arial" w:cs="Arial"/>
          <w:color w:val="3366FF"/>
          <w:sz w:val="20"/>
          <w:szCs w:val="20"/>
          <w:u w:val="single"/>
          <w:lang w:val="mn-MN"/>
        </w:rPr>
        <w:t>12</w:t>
      </w:r>
      <w:r w:rsidRPr="00ED3BD9">
        <w:rPr>
          <w:rFonts w:ascii="Arial" w:eastAsia="Times New Roman" w:hAnsi="Arial" w:cs="Arial"/>
          <w:color w:val="3366FF"/>
          <w:sz w:val="20"/>
          <w:szCs w:val="20"/>
          <w:lang w:val="ms-MY"/>
        </w:rPr>
        <w:t xml:space="preserve"> сарын</w:t>
      </w:r>
      <w:r w:rsidRPr="00ED3BD9">
        <w:rPr>
          <w:rFonts w:ascii="Arial" w:eastAsia="Times New Roman" w:hAnsi="Arial" w:cs="Arial"/>
          <w:color w:val="3366FF"/>
          <w:sz w:val="20"/>
          <w:szCs w:val="20"/>
          <w:lang w:val="mn-MN"/>
        </w:rPr>
        <w:t xml:space="preserve"> </w:t>
      </w:r>
      <w:r w:rsidRPr="00ED3BD9">
        <w:rPr>
          <w:rFonts w:ascii="Arial" w:eastAsia="Times New Roman" w:hAnsi="Arial" w:cs="Arial"/>
          <w:color w:val="3366FF"/>
          <w:sz w:val="20"/>
          <w:szCs w:val="20"/>
          <w:u w:val="single"/>
          <w:lang w:val="mn-MN"/>
        </w:rPr>
        <w:t>12</w:t>
      </w:r>
      <w:r w:rsidRPr="00ED3BD9">
        <w:rPr>
          <w:rFonts w:ascii="Arial" w:eastAsia="Times New Roman" w:hAnsi="Arial" w:cs="Arial"/>
          <w:color w:val="3366FF"/>
          <w:sz w:val="20"/>
          <w:szCs w:val="20"/>
          <w:lang w:val="mn-MN"/>
        </w:rPr>
        <w:t xml:space="preserve"> </w:t>
      </w:r>
      <w:r w:rsidRPr="00ED3BD9">
        <w:rPr>
          <w:rFonts w:ascii="Arial" w:eastAsia="Times New Roman" w:hAnsi="Arial" w:cs="Arial"/>
          <w:color w:val="3366FF"/>
          <w:sz w:val="20"/>
          <w:szCs w:val="20"/>
          <w:lang w:val="ms-MY"/>
        </w:rPr>
        <w:t xml:space="preserve">өдөр            </w:t>
      </w:r>
      <w:r w:rsidRPr="00ED3BD9">
        <w:rPr>
          <w:rFonts w:ascii="Arial" w:eastAsia="Times New Roman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ED3BD9">
        <w:rPr>
          <w:rFonts w:ascii="Arial" w:eastAsia="Times New Roman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ED3BD9" w:rsidRPr="00ED3BD9" w:rsidRDefault="00ED3BD9" w:rsidP="00ED3BD9">
      <w:pPr>
        <w:keepNext/>
        <w:keepLines/>
        <w:spacing w:after="0" w:line="240" w:lineRule="auto"/>
        <w:outlineLvl w:val="0"/>
        <w:rPr>
          <w:rFonts w:ascii="Arial" w:eastAsia="Times New Roman" w:hAnsi="Arial" w:cs="Arial"/>
          <w:b/>
          <w:kern w:val="2"/>
          <w:sz w:val="24"/>
          <w:szCs w:val="24"/>
          <w:lang w:val="mn-MN" w:eastAsia="zh-CN"/>
        </w:rPr>
      </w:pPr>
    </w:p>
    <w:p w:rsidR="00ED3BD9" w:rsidRPr="00ED3BD9" w:rsidRDefault="00ED3BD9" w:rsidP="00ED3BD9">
      <w:pPr>
        <w:keepNext/>
        <w:keepLines/>
        <w:spacing w:after="0" w:line="240" w:lineRule="auto"/>
        <w:outlineLvl w:val="0"/>
        <w:rPr>
          <w:rFonts w:ascii="Arial" w:eastAsia="Times New Roman" w:hAnsi="Arial" w:cs="Arial"/>
          <w:b/>
          <w:kern w:val="2"/>
          <w:sz w:val="24"/>
          <w:szCs w:val="24"/>
          <w:lang w:val="mn-MN" w:eastAsia="zh-CN"/>
        </w:rPr>
      </w:pPr>
    </w:p>
    <w:p w:rsidR="00ED3BD9" w:rsidRPr="00ED3BD9" w:rsidRDefault="00ED3BD9" w:rsidP="00ED3BD9">
      <w:pPr>
        <w:keepNext/>
        <w:keepLines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2"/>
          <w:sz w:val="24"/>
          <w:szCs w:val="24"/>
          <w:lang w:val="mn-MN" w:eastAsia="zh-CN"/>
        </w:rPr>
      </w:pPr>
      <w:r w:rsidRPr="00ED3BD9">
        <w:rPr>
          <w:rFonts w:ascii="Arial" w:eastAsia="Times New Roman" w:hAnsi="Arial" w:cs="Arial"/>
          <w:b/>
          <w:kern w:val="2"/>
          <w:sz w:val="24"/>
          <w:szCs w:val="24"/>
          <w:lang w:val="mn-MN" w:eastAsia="zh-CN"/>
        </w:rPr>
        <w:t xml:space="preserve">     ГААЛИЙН ТАРИФ, ГААЛИЙН ТАТВАРЫН </w:t>
      </w:r>
    </w:p>
    <w:p w:rsidR="00ED3BD9" w:rsidRPr="00ED3BD9" w:rsidRDefault="00ED3BD9" w:rsidP="00ED3BD9">
      <w:pPr>
        <w:keepNext/>
        <w:keepLines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2"/>
          <w:sz w:val="24"/>
          <w:szCs w:val="24"/>
          <w:lang w:val="mn-MN" w:eastAsia="zh-CN"/>
        </w:rPr>
      </w:pPr>
      <w:r w:rsidRPr="00ED3BD9">
        <w:rPr>
          <w:rFonts w:ascii="Arial" w:eastAsia="Times New Roman" w:hAnsi="Arial" w:cs="Arial"/>
          <w:b/>
          <w:kern w:val="2"/>
          <w:sz w:val="24"/>
          <w:szCs w:val="24"/>
          <w:lang w:val="mn-MN" w:eastAsia="zh-CN"/>
        </w:rPr>
        <w:t xml:space="preserve">     ТУХАЙ ХУУЛЬД НЭМЭЛТ, ӨӨРЧЛӨЛТ </w:t>
      </w:r>
    </w:p>
    <w:p w:rsidR="00ED3BD9" w:rsidRPr="00ED3BD9" w:rsidRDefault="00ED3BD9" w:rsidP="00ED3BD9">
      <w:pPr>
        <w:keepNext/>
        <w:keepLines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2"/>
          <w:sz w:val="24"/>
          <w:szCs w:val="24"/>
          <w:lang w:val="mn-MN" w:eastAsia="zh-CN"/>
        </w:rPr>
      </w:pPr>
      <w:r w:rsidRPr="00ED3BD9">
        <w:rPr>
          <w:rFonts w:ascii="Arial" w:eastAsia="Times New Roman" w:hAnsi="Arial" w:cs="Arial"/>
          <w:b/>
          <w:kern w:val="2"/>
          <w:sz w:val="24"/>
          <w:szCs w:val="24"/>
          <w:lang w:val="mn-MN" w:eastAsia="zh-CN"/>
        </w:rPr>
        <w:t xml:space="preserve">     ОРУУЛАХ ТУХАЙ</w:t>
      </w:r>
    </w:p>
    <w:p w:rsidR="00ED3BD9" w:rsidRPr="00ED3BD9" w:rsidRDefault="00ED3BD9" w:rsidP="00ED3BD9">
      <w:pPr>
        <w:spacing w:after="0" w:line="360" w:lineRule="auto"/>
        <w:ind w:firstLine="720"/>
        <w:rPr>
          <w:rFonts w:ascii="Arial" w:eastAsia="Times New Roman" w:hAnsi="Arial" w:cs="Arial"/>
          <w:sz w:val="24"/>
          <w:szCs w:val="24"/>
          <w:lang w:val="mn-MN"/>
        </w:rPr>
      </w:pPr>
    </w:p>
    <w:p w:rsidR="00ED3BD9" w:rsidRPr="00ED3BD9" w:rsidRDefault="00ED3BD9" w:rsidP="00ED3BD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mn-MN" w:eastAsia="zh-CN"/>
        </w:rPr>
      </w:pPr>
      <w:r w:rsidRPr="00ED3BD9">
        <w:rPr>
          <w:rFonts w:ascii="Arial" w:eastAsia="Times New Roman" w:hAnsi="Arial" w:cs="Arial"/>
          <w:b/>
          <w:sz w:val="24"/>
          <w:szCs w:val="24"/>
          <w:lang w:val="mn-MN" w:eastAsia="zh-CN"/>
        </w:rPr>
        <w:t>1 дүгээр зүйл.</w:t>
      </w:r>
      <w:r w:rsidRPr="00ED3BD9">
        <w:rPr>
          <w:rFonts w:ascii="Arial" w:eastAsia="Times New Roman" w:hAnsi="Arial" w:cs="Arial"/>
          <w:sz w:val="24"/>
          <w:szCs w:val="24"/>
          <w:lang w:val="mn-MN" w:eastAsia="zh-CN"/>
        </w:rPr>
        <w:t>Гаалийн тариф, гаалийн татварын тухай хуульд доор дурдсан агуулгатай дараах хэсэг, заалт нэмсүгэй:</w:t>
      </w:r>
    </w:p>
    <w:p w:rsidR="00ED3BD9" w:rsidRPr="00ED3BD9" w:rsidRDefault="00ED3BD9" w:rsidP="00ED3BD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mn-MN" w:eastAsia="zh-CN"/>
        </w:rPr>
      </w:pPr>
    </w:p>
    <w:p w:rsidR="00ED3BD9" w:rsidRPr="00ED3BD9" w:rsidRDefault="00ED3BD9" w:rsidP="00ED3BD9">
      <w:pPr>
        <w:spacing w:after="0" w:line="240" w:lineRule="auto"/>
        <w:ind w:left="720" w:firstLine="556"/>
        <w:jc w:val="both"/>
        <w:rPr>
          <w:rFonts w:ascii="Arial" w:eastAsia="Times New Roman" w:hAnsi="Arial" w:cs="Arial"/>
          <w:b/>
          <w:sz w:val="24"/>
          <w:szCs w:val="24"/>
          <w:lang w:val="mn-MN" w:eastAsia="zh-CN"/>
        </w:rPr>
      </w:pPr>
      <w:r w:rsidRPr="00ED3BD9">
        <w:rPr>
          <w:rFonts w:ascii="Arial" w:eastAsia="Times New Roman" w:hAnsi="Arial" w:cs="Arial"/>
          <w:b/>
          <w:sz w:val="24"/>
          <w:szCs w:val="24"/>
          <w:lang w:val="mn-MN" w:eastAsia="zh-CN"/>
        </w:rPr>
        <w:t>1/38 дугаар зүйлийн 38.1.26 дахь заалт:</w:t>
      </w:r>
    </w:p>
    <w:p w:rsidR="00ED3BD9" w:rsidRPr="00ED3BD9" w:rsidRDefault="00ED3BD9" w:rsidP="00ED3BD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mn-MN" w:eastAsia="zh-CN"/>
        </w:rPr>
      </w:pPr>
    </w:p>
    <w:p w:rsidR="00ED3BD9" w:rsidRPr="00ED3BD9" w:rsidRDefault="00ED3BD9" w:rsidP="00ED3BD9">
      <w:pPr>
        <w:spacing w:after="0" w:line="240" w:lineRule="auto"/>
        <w:ind w:firstLine="1276"/>
        <w:jc w:val="both"/>
        <w:rPr>
          <w:rFonts w:ascii="Arial" w:eastAsia="Times New Roman" w:hAnsi="Arial" w:cs="Arial"/>
          <w:sz w:val="24"/>
          <w:szCs w:val="24"/>
          <w:lang w:val="mn-MN" w:eastAsia="zh-CN"/>
        </w:rPr>
      </w:pPr>
      <w:r w:rsidRPr="00ED3BD9">
        <w:rPr>
          <w:rFonts w:ascii="Arial" w:eastAsia="Times New Roman" w:hAnsi="Arial" w:cs="Arial"/>
          <w:sz w:val="24"/>
          <w:szCs w:val="24"/>
          <w:lang w:val="mn-MN" w:eastAsia="zh-CN"/>
        </w:rPr>
        <w:t>“38.1.26.энэ хуулийн 40.8-д заасны дагуу тогтоосон ажлын үндсэн хөрөнгөөр бүртгэгдэх, дотоодын үйлдвэрлэлээс хангах боломжгүй импортоор оруулах барилгын материал, тоног төхөөрөмж.”</w:t>
      </w:r>
      <w:bookmarkStart w:id="0" w:name="_GoBack"/>
      <w:bookmarkEnd w:id="0"/>
    </w:p>
    <w:p w:rsidR="00ED3BD9" w:rsidRPr="00ED3BD9" w:rsidRDefault="00ED3BD9" w:rsidP="00ED3BD9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val="mn-MN" w:eastAsia="zh-CN"/>
        </w:rPr>
      </w:pPr>
    </w:p>
    <w:p w:rsidR="00ED3BD9" w:rsidRPr="00ED3BD9" w:rsidRDefault="00ED3BD9" w:rsidP="00ED3BD9">
      <w:pPr>
        <w:spacing w:after="0" w:line="240" w:lineRule="auto"/>
        <w:ind w:left="556" w:firstLine="720"/>
        <w:jc w:val="both"/>
        <w:rPr>
          <w:rFonts w:ascii="Arial" w:eastAsia="Times New Roman" w:hAnsi="Arial" w:cs="Arial"/>
          <w:b/>
          <w:sz w:val="24"/>
          <w:szCs w:val="24"/>
          <w:lang w:val="mn-MN" w:eastAsia="zh-CN"/>
        </w:rPr>
      </w:pPr>
      <w:r w:rsidRPr="00ED3BD9">
        <w:rPr>
          <w:rFonts w:ascii="Arial" w:eastAsia="Times New Roman" w:hAnsi="Arial" w:cs="Arial"/>
          <w:b/>
          <w:sz w:val="24"/>
          <w:szCs w:val="24"/>
          <w:lang w:val="mn-MN" w:eastAsia="zh-CN"/>
        </w:rPr>
        <w:t>2/38 дугаар зүйлийн 38.4-38.6 дахь хэсэг:</w:t>
      </w:r>
    </w:p>
    <w:p w:rsidR="00ED3BD9" w:rsidRPr="00ED3BD9" w:rsidRDefault="00ED3BD9" w:rsidP="00ED3BD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mn-MN" w:eastAsia="zh-CN"/>
        </w:rPr>
      </w:pPr>
    </w:p>
    <w:p w:rsidR="00ED3BD9" w:rsidRPr="00ED3BD9" w:rsidRDefault="00ED3BD9" w:rsidP="00ED3B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mn-MN" w:eastAsia="zh-CN"/>
        </w:rPr>
      </w:pPr>
      <w:r w:rsidRPr="00ED3BD9">
        <w:rPr>
          <w:rFonts w:ascii="Arial" w:eastAsia="Times New Roman" w:hAnsi="Arial" w:cs="Arial"/>
          <w:sz w:val="24"/>
          <w:szCs w:val="24"/>
          <w:lang w:val="mn-MN" w:eastAsia="zh-CN"/>
        </w:rPr>
        <w:t>“38.4.Боловсруулах үйлдвэрийн үндсэн хөрөнгөөр бүртгэгдэх үйлдвэрлэлийн зориулалттай тоног төхөөрөмжийн иж бүрдлийг импортын барааны гаалийн албан татвараас 100 хувь хөнгөлнө.</w:t>
      </w:r>
    </w:p>
    <w:p w:rsidR="00ED3BD9" w:rsidRPr="00ED3BD9" w:rsidRDefault="00ED3BD9" w:rsidP="00ED3BD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mn-MN" w:eastAsia="zh-CN"/>
        </w:rPr>
      </w:pPr>
    </w:p>
    <w:p w:rsidR="00ED3BD9" w:rsidRPr="00ED3BD9" w:rsidRDefault="00ED3BD9" w:rsidP="00ED3BD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mn-MN" w:eastAsia="zh-CN"/>
        </w:rPr>
      </w:pPr>
      <w:r w:rsidRPr="00ED3BD9">
        <w:rPr>
          <w:rFonts w:ascii="Arial" w:eastAsia="Times New Roman" w:hAnsi="Arial" w:cs="Arial"/>
          <w:sz w:val="24"/>
          <w:szCs w:val="24"/>
          <w:lang w:val="mn-MN" w:eastAsia="zh-CN"/>
        </w:rPr>
        <w:t>38.5.Энэ хуулийн 38.4-т заасны дагуу импортоор оруулсан бараанд тухайн онд ногдуулан төлсөн гаалийн албан татварыг дараагийн төсвийн жилийн эхний хагас жилд татвар төлөгчид буцаан олгоно.</w:t>
      </w:r>
    </w:p>
    <w:p w:rsidR="00ED3BD9" w:rsidRPr="00ED3BD9" w:rsidRDefault="00ED3BD9" w:rsidP="00ED3BD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mn-MN" w:eastAsia="zh-CN"/>
        </w:rPr>
      </w:pPr>
    </w:p>
    <w:p w:rsidR="00ED3BD9" w:rsidRPr="00ED3BD9" w:rsidRDefault="00ED3BD9" w:rsidP="00ED3BD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ED3BD9">
        <w:rPr>
          <w:rFonts w:ascii="Arial" w:eastAsia="Arial" w:hAnsi="Arial" w:cs="Arial"/>
          <w:color w:val="000000"/>
          <w:sz w:val="24"/>
          <w:szCs w:val="24"/>
          <w:lang w:val="mn-MN"/>
        </w:rPr>
        <w:t xml:space="preserve">38.6.Энэ хуулийн 38.4-т хамаарах боловсруулах үйлдвэрийн салбарын жагсаалтыг Улсын Их Хурал батална.” </w:t>
      </w:r>
    </w:p>
    <w:p w:rsidR="00ED3BD9" w:rsidRPr="00ED3BD9" w:rsidRDefault="00ED3BD9" w:rsidP="00ED3BD9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</w:pPr>
    </w:p>
    <w:p w:rsidR="00ED3BD9" w:rsidRPr="00ED3BD9" w:rsidRDefault="00ED3BD9" w:rsidP="00ED3BD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  <w:r w:rsidRPr="00ED3BD9"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  <w:t>2 дугаар зүйл.</w:t>
      </w:r>
      <w:r w:rsidRPr="00ED3BD9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Гаалийн тариф, гаалийн татварын тухай хуулийн 38 дугаар зүйлийн 38.3 дахь хэсгийн “чөлөөлөх” гэсний дараа “, хөнгөлөх” гэж нэмсүгэй.  </w:t>
      </w:r>
    </w:p>
    <w:p w:rsidR="00ED3BD9" w:rsidRPr="00ED3BD9" w:rsidRDefault="00ED3BD9" w:rsidP="00ED3BD9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p w:rsidR="00ED3BD9" w:rsidRPr="00ED3BD9" w:rsidRDefault="00ED3BD9" w:rsidP="00ED3BD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mn-MN" w:eastAsia="zh-CN"/>
        </w:rPr>
      </w:pPr>
      <w:r w:rsidRPr="00ED3BD9">
        <w:rPr>
          <w:rFonts w:ascii="Arial" w:eastAsia="Times New Roman" w:hAnsi="Arial" w:cs="Arial"/>
          <w:b/>
          <w:bCs/>
          <w:sz w:val="24"/>
          <w:szCs w:val="24"/>
          <w:lang w:val="mn-MN" w:eastAsia="zh-CN"/>
        </w:rPr>
        <w:t>3 дугаар зүйл.</w:t>
      </w:r>
      <w:r w:rsidRPr="00ED3BD9">
        <w:rPr>
          <w:rFonts w:ascii="Arial" w:eastAsia="Times New Roman" w:hAnsi="Arial" w:cs="Arial"/>
          <w:sz w:val="24"/>
          <w:szCs w:val="24"/>
          <w:lang w:val="mn-MN" w:eastAsia="zh-CN"/>
        </w:rPr>
        <w:t>Гаалийн тариф, гаалийн татварын тухай хуулийн 38 дугаар зүйлийн гарчгийн “чөлөөлөгдөх” гэснийг “чөлөөлөх, хөнгөлөх” гэж өөрчилсүгэй.</w:t>
      </w:r>
    </w:p>
    <w:p w:rsidR="00ED3BD9" w:rsidRPr="00ED3BD9" w:rsidRDefault="00ED3BD9" w:rsidP="00ED3BD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mn-MN" w:eastAsia="zh-CN"/>
        </w:rPr>
      </w:pPr>
    </w:p>
    <w:p w:rsidR="00ED3BD9" w:rsidRPr="00ED3BD9" w:rsidRDefault="00ED3BD9" w:rsidP="00ED3BD9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mn-MN" w:eastAsia="zh-CN"/>
        </w:rPr>
      </w:pPr>
      <w:r w:rsidRPr="00ED3BD9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mn-MN" w:eastAsia="zh-CN"/>
        </w:rPr>
        <w:t>4 дүгээр зүйл.</w:t>
      </w:r>
      <w:r w:rsidRPr="00ED3BD9">
        <w:rPr>
          <w:rFonts w:ascii="Arial" w:eastAsia="Times New Roman" w:hAnsi="Arial" w:cs="Arial"/>
          <w:sz w:val="24"/>
          <w:szCs w:val="24"/>
          <w:lang w:val="mn-MN" w:eastAsia="zh-CN"/>
        </w:rPr>
        <w:t>Гаалийн тариф, гаалийн татварын тухай хуулийн 40 дүгээр зүйлийн 40.8 дахь хэсгийн “гаалийн болон” гэснийг хассугай.</w:t>
      </w:r>
    </w:p>
    <w:p w:rsidR="00ED3BD9" w:rsidRPr="00ED3BD9" w:rsidRDefault="00ED3BD9" w:rsidP="00ED3BD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mn-MN" w:eastAsia="zh-CN"/>
        </w:rPr>
      </w:pPr>
    </w:p>
    <w:p w:rsidR="00ED3BD9" w:rsidRPr="00ED3BD9" w:rsidRDefault="00ED3BD9" w:rsidP="00ED3BD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mn-MN" w:eastAsia="zh-CN"/>
        </w:rPr>
      </w:pPr>
      <w:r w:rsidRPr="00ED3BD9">
        <w:rPr>
          <w:rFonts w:ascii="Arial" w:eastAsia="Times New Roman" w:hAnsi="Arial" w:cs="Arial"/>
          <w:b/>
          <w:bCs/>
          <w:sz w:val="24"/>
          <w:szCs w:val="24"/>
          <w:lang w:val="mn-MN" w:eastAsia="zh-CN"/>
        </w:rPr>
        <w:t>5 дугаар зүйл.</w:t>
      </w:r>
      <w:r w:rsidRPr="00ED3BD9">
        <w:rPr>
          <w:rFonts w:ascii="Arial" w:eastAsia="Times New Roman" w:hAnsi="Arial" w:cs="Arial"/>
          <w:color w:val="000000"/>
          <w:sz w:val="24"/>
          <w:szCs w:val="24"/>
          <w:lang w:val="mn-MN" w:eastAsia="zh-CN"/>
        </w:rPr>
        <w:t xml:space="preserve">Энэ хуулийн </w:t>
      </w:r>
      <w:r w:rsidRPr="00ED3BD9">
        <w:rPr>
          <w:rFonts w:ascii="Arial" w:eastAsia="Times New Roman" w:hAnsi="Arial" w:cs="Arial"/>
          <w:sz w:val="24"/>
          <w:szCs w:val="24"/>
          <w:lang w:val="mn-MN" w:eastAsia="zh-CN"/>
        </w:rPr>
        <w:t xml:space="preserve">1 дүгээр зүйлийн 1 дэх заалт буюу 38 дугаар зүйлийн 38.1.26 дахь заалт, 4 дүгээр зүйл буюу 40 дүгээр зүйлийн 40.8 дахь хэсэгт </w:t>
      </w:r>
      <w:r w:rsidRPr="00ED3BD9">
        <w:rPr>
          <w:rFonts w:ascii="Arial" w:eastAsia="Times New Roman" w:hAnsi="Arial" w:cs="Arial"/>
          <w:sz w:val="24"/>
          <w:szCs w:val="24"/>
          <w:lang w:val="mn-MN" w:eastAsia="zh-CN"/>
        </w:rPr>
        <w:lastRenderedPageBreak/>
        <w:t xml:space="preserve">оруулсан өөрчлөлтийг 2025 оны 06 дугаар сарын 01-ний өдрөөс эхлэн тус тус дагаж мөрдөнө. </w:t>
      </w:r>
    </w:p>
    <w:p w:rsidR="00ED3BD9" w:rsidRPr="00ED3BD9" w:rsidRDefault="00ED3BD9" w:rsidP="00ED3BD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u w:val="single"/>
          <w:lang w:val="mn-MN" w:eastAsia="zh-CN"/>
        </w:rPr>
      </w:pPr>
    </w:p>
    <w:p w:rsidR="00ED3BD9" w:rsidRPr="00ED3BD9" w:rsidRDefault="00ED3BD9" w:rsidP="00ED3BD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val="mn-MN" w:eastAsia="zh-CN"/>
        </w:rPr>
      </w:pPr>
      <w:r w:rsidRPr="00ED3BD9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mn-MN" w:eastAsia="zh-CN"/>
        </w:rPr>
        <w:t>6 дугаар зүйл.</w:t>
      </w:r>
      <w:r w:rsidRPr="00ED3BD9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mn-MN" w:eastAsia="zh-CN"/>
        </w:rPr>
        <w:t>Энэ хуулийн</w:t>
      </w:r>
      <w:r w:rsidRPr="00ED3BD9">
        <w:rPr>
          <w:rFonts w:ascii="Arial" w:eastAsia="Times New Roman" w:hAnsi="Arial" w:cs="Arial"/>
          <w:bCs/>
          <w:sz w:val="24"/>
          <w:szCs w:val="24"/>
          <w:lang w:val="mn-MN" w:eastAsia="zh-CN"/>
        </w:rPr>
        <w:t xml:space="preserve"> 1 дүгээр зүйлийн 2 дахь заалт буюу 38 дугаар зүйлийн 38.4, 38.5, 38.6 дахь хэсэг, 2, 3 дугаар зүйлийг 2025 оны 01 дүгээр сарын 01-ний өдрөөс эхлэн 2030 оны 12 дугаар сарын 31-ний өдрийг дуустал хугацаанд тус тус дагаж мөрдөнө. </w:t>
      </w:r>
    </w:p>
    <w:p w:rsidR="00ED3BD9" w:rsidRPr="00ED3BD9" w:rsidRDefault="00ED3BD9" w:rsidP="00ED3BD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val="mn-MN" w:eastAsia="zh-CN"/>
        </w:rPr>
      </w:pPr>
    </w:p>
    <w:p w:rsidR="00ED3BD9" w:rsidRPr="00ED3BD9" w:rsidRDefault="00ED3BD9" w:rsidP="00ED3BD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val="mn-MN" w:eastAsia="zh-CN"/>
        </w:rPr>
      </w:pPr>
    </w:p>
    <w:p w:rsidR="00ED3BD9" w:rsidRPr="00ED3BD9" w:rsidRDefault="00ED3BD9" w:rsidP="00ED3BD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val="mn-MN" w:eastAsia="zh-CN"/>
        </w:rPr>
      </w:pPr>
    </w:p>
    <w:p w:rsidR="00ED3BD9" w:rsidRPr="00ED3BD9" w:rsidRDefault="00ED3BD9" w:rsidP="00ED3BD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val="mn-MN" w:eastAsia="zh-CN"/>
        </w:rPr>
      </w:pPr>
    </w:p>
    <w:p w:rsidR="00ED3BD9" w:rsidRPr="00ED3BD9" w:rsidRDefault="00ED3BD9" w:rsidP="00ED3BD9">
      <w:pPr>
        <w:spacing w:after="0" w:line="240" w:lineRule="auto"/>
        <w:ind w:left="720" w:firstLine="720"/>
        <w:jc w:val="both"/>
        <w:rPr>
          <w:rFonts w:ascii="Arial" w:eastAsia="Times New Roman" w:hAnsi="Arial" w:cs="Arial"/>
          <w:sz w:val="24"/>
          <w:szCs w:val="24"/>
          <w:lang w:val="mn-MN" w:eastAsia="zh-CN"/>
        </w:rPr>
      </w:pPr>
      <w:r w:rsidRPr="00ED3BD9">
        <w:rPr>
          <w:rFonts w:ascii="Arial" w:eastAsia="Times New Roman" w:hAnsi="Arial" w:cs="Times New Roman"/>
          <w:color w:val="000000"/>
          <w:sz w:val="24"/>
          <w:szCs w:val="24"/>
          <w:lang w:val="mn-MN" w:eastAsia="mn-MN"/>
        </w:rPr>
        <w:t xml:space="preserve">МОНГОЛ УЛСЫН </w:t>
      </w:r>
    </w:p>
    <w:p w:rsidR="00ED3BD9" w:rsidRPr="00ED3BD9" w:rsidRDefault="00ED3BD9" w:rsidP="00ED3BD9">
      <w:pPr>
        <w:spacing w:after="0" w:line="240" w:lineRule="auto"/>
        <w:ind w:left="720" w:firstLine="720"/>
        <w:jc w:val="both"/>
        <w:textAlignment w:val="baseline"/>
        <w:rPr>
          <w:rFonts w:ascii="Arial" w:eastAsia="Times New Roman" w:hAnsi="Arial" w:cs="Times New Roman"/>
          <w:sz w:val="24"/>
          <w:szCs w:val="24"/>
          <w:lang w:val="mn-MN"/>
        </w:rPr>
      </w:pPr>
      <w:r w:rsidRPr="00ED3BD9">
        <w:rPr>
          <w:rFonts w:ascii="Arial" w:eastAsia="Times New Roman" w:hAnsi="Arial" w:cs="Times New Roman"/>
          <w:color w:val="000000"/>
          <w:sz w:val="24"/>
          <w:szCs w:val="24"/>
          <w:lang w:val="mn-MN" w:eastAsia="mn-MN"/>
        </w:rPr>
        <w:t xml:space="preserve">ИХ ХУРЛЫН ДАРГА </w:t>
      </w:r>
      <w:r w:rsidRPr="00ED3BD9">
        <w:rPr>
          <w:rFonts w:ascii="Arial" w:eastAsia="Times New Roman" w:hAnsi="Arial" w:cs="Times New Roman"/>
          <w:color w:val="000000"/>
          <w:sz w:val="24"/>
          <w:szCs w:val="24"/>
          <w:lang w:val="mn-MN" w:eastAsia="mn-MN"/>
        </w:rPr>
        <w:tab/>
      </w:r>
      <w:r w:rsidRPr="00ED3BD9">
        <w:rPr>
          <w:rFonts w:ascii="Arial" w:eastAsia="Times New Roman" w:hAnsi="Arial" w:cs="Times New Roman"/>
          <w:color w:val="000000"/>
          <w:sz w:val="24"/>
          <w:szCs w:val="24"/>
          <w:lang w:val="mn-MN" w:eastAsia="mn-MN"/>
        </w:rPr>
        <w:tab/>
      </w:r>
      <w:r w:rsidRPr="00ED3BD9">
        <w:rPr>
          <w:rFonts w:ascii="Arial" w:eastAsia="Times New Roman" w:hAnsi="Arial" w:cs="Times New Roman"/>
          <w:color w:val="000000"/>
          <w:sz w:val="24"/>
          <w:szCs w:val="24"/>
          <w:lang w:val="mn-MN" w:eastAsia="mn-MN"/>
        </w:rPr>
        <w:tab/>
        <w:t xml:space="preserve">                 Д.АМАРБАЯСГАЛАН</w:t>
      </w:r>
    </w:p>
    <w:p w:rsidR="00ED3BD9" w:rsidRPr="00ED3BD9" w:rsidRDefault="00ED3BD9" w:rsidP="00ED3BD9">
      <w:pPr>
        <w:spacing w:after="0" w:line="240" w:lineRule="auto"/>
        <w:ind w:firstLine="720"/>
        <w:jc w:val="right"/>
        <w:rPr>
          <w:rFonts w:ascii="Arial" w:eastAsia="Times New Roman" w:hAnsi="Arial" w:cs="Arial"/>
          <w:bCs/>
          <w:sz w:val="24"/>
          <w:szCs w:val="24"/>
          <w:lang w:val="mn-MN"/>
        </w:rPr>
      </w:pPr>
    </w:p>
    <w:p w:rsidR="00ED3BD9" w:rsidRPr="00ED3BD9" w:rsidRDefault="00ED3BD9" w:rsidP="00ED3BD9">
      <w:pPr>
        <w:spacing w:after="0" w:line="240" w:lineRule="auto"/>
        <w:ind w:firstLine="720"/>
        <w:jc w:val="right"/>
        <w:rPr>
          <w:rFonts w:ascii="Arial" w:eastAsia="Times New Roman" w:hAnsi="Arial" w:cs="Arial"/>
          <w:bCs/>
          <w:sz w:val="24"/>
          <w:szCs w:val="24"/>
          <w:lang w:val="mn-MN"/>
        </w:rPr>
      </w:pPr>
    </w:p>
    <w:p w:rsidR="00ED3BD9" w:rsidRPr="00ED3BD9" w:rsidRDefault="00ED3BD9" w:rsidP="00ED3BD9">
      <w:pPr>
        <w:spacing w:after="0" w:line="240" w:lineRule="auto"/>
        <w:ind w:firstLine="720"/>
        <w:jc w:val="right"/>
        <w:rPr>
          <w:rFonts w:ascii="Arial" w:eastAsia="Times New Roman" w:hAnsi="Arial" w:cs="Arial"/>
          <w:bCs/>
          <w:sz w:val="24"/>
          <w:szCs w:val="24"/>
          <w:lang w:val="mn-MN"/>
        </w:rPr>
      </w:pPr>
    </w:p>
    <w:p w:rsidR="00BC08BE" w:rsidRDefault="00BC08BE"/>
    <w:sectPr w:rsidR="00BC08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BD9"/>
    <w:rsid w:val="00BC08BE"/>
    <w:rsid w:val="00ED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54EAFF-C48E-4593-848A-94B2E2D1C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2024-12-19T05:41:00Z</dcterms:created>
  <dcterms:modified xsi:type="dcterms:W3CDTF">2024-12-19T05:45:00Z</dcterms:modified>
</cp:coreProperties>
</file>