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1.png" ContentType="image/png"/>
  <Override PartName="/word/media/image6.png" ContentType="image/png"/>
  <Override PartName="/word/media/image12.png" ContentType="image/png"/>
  <Override PartName="/word/media/image7.png" ContentType="image/png"/>
  <Override PartName="/word/media/image8.png" ContentType="image/png"/>
  <Override PartName="/word/media/image10.png" ContentType="image/png"/>
  <Override PartName="/word/media/image5.png" ContentType="image/png"/>
  <Override PartName="/word/media/image9.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right"/>
      </w:pPr>
      <w:r>
        <w:rPr>
          <w:rFonts w:ascii="Arial" w:cs="Arial" w:hAnsi="Arial"/>
          <w:sz w:val="20"/>
          <w:szCs w:val="20"/>
          <w:lang w:val="mn-MN"/>
        </w:rPr>
        <w:t>У</w:t>
      </w:r>
      <w:r>
        <w:rPr>
          <w:rFonts w:ascii="Arial" w:cs="Arial" w:hAnsi="Arial"/>
          <w:sz w:val="20"/>
          <w:szCs w:val="20"/>
          <w:lang w:val="mn-MN"/>
        </w:rPr>
        <w:t xml:space="preserve">лсын </w:t>
      </w:r>
      <w:r>
        <w:rPr>
          <w:rFonts w:ascii="Arial" w:cs="Arial" w:hAnsi="Arial"/>
          <w:sz w:val="20"/>
          <w:szCs w:val="20"/>
          <w:lang w:val="mn-MN"/>
        </w:rPr>
        <w:t>И</w:t>
      </w:r>
      <w:r>
        <w:rPr>
          <w:rFonts w:ascii="Arial" w:cs="Arial" w:hAnsi="Arial"/>
          <w:sz w:val="20"/>
          <w:szCs w:val="20"/>
          <w:lang w:val="mn-MN"/>
        </w:rPr>
        <w:t>х Хурлы</w:t>
      </w:r>
      <w:r>
        <w:rPr>
          <w:rFonts w:ascii="Arial" w:cs="Arial" w:hAnsi="Arial"/>
          <w:sz w:val="20"/>
          <w:szCs w:val="20"/>
          <w:lang w:val="mn-MN"/>
        </w:rPr>
        <w:t xml:space="preserve">н </w:t>
      </w:r>
      <w:r>
        <w:rPr>
          <w:rFonts w:ascii="Arial" w:cs="Arial" w:hAnsi="Arial"/>
          <w:sz w:val="20"/>
          <w:szCs w:val="20"/>
          <w:lang w:val="mn-MN"/>
        </w:rPr>
        <w:t>Агаарын бохирдлыг</w:t>
      </w:r>
    </w:p>
    <w:p>
      <w:pPr>
        <w:pStyle w:val="style0"/>
        <w:spacing w:after="0" w:before="0" w:line="100" w:lineRule="atLeast"/>
        <w:contextualSpacing w:val="false"/>
        <w:jc w:val="right"/>
      </w:pPr>
      <w:r>
        <w:rPr>
          <w:rFonts w:ascii="Arial" w:cs="Arial" w:hAnsi="Arial"/>
          <w:sz w:val="20"/>
          <w:szCs w:val="20"/>
          <w:lang w:val="mn-MN"/>
        </w:rPr>
        <w:t xml:space="preserve">  </w:t>
      </w:r>
      <w:r>
        <w:rPr>
          <w:rFonts w:ascii="Arial" w:cs="Arial" w:hAnsi="Arial"/>
          <w:sz w:val="20"/>
          <w:szCs w:val="20"/>
          <w:lang w:val="mn-MN"/>
        </w:rPr>
        <w:t>бууруулах асуудлын дэд</w:t>
      </w:r>
      <w:r>
        <w:rPr>
          <w:rFonts w:ascii="Arial" w:cs="Arial" w:hAnsi="Arial"/>
          <w:sz w:val="20"/>
          <w:szCs w:val="20"/>
          <w:lang w:val="mn-MN"/>
        </w:rPr>
        <w:t xml:space="preserve"> хорооны хуралд </w:t>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b/>
          <w:sz w:val="24"/>
          <w:szCs w:val="24"/>
          <w:lang w:val="mn-MN"/>
        </w:rPr>
        <w:t xml:space="preserve">МЭДЭЭЛЭЛ </w:t>
      </w:r>
    </w:p>
    <w:p>
      <w:pPr>
        <w:pStyle w:val="style0"/>
        <w:spacing w:after="0" w:before="0" w:line="100" w:lineRule="atLeast"/>
        <w:contextualSpacing w:val="false"/>
        <w:jc w:val="center"/>
      </w:pPr>
      <w:r>
        <w:rPr>
          <w:rFonts w:ascii="Arial" w:cs="Arial" w:hAnsi="Arial"/>
          <w:i/>
          <w:sz w:val="24"/>
          <w:szCs w:val="24"/>
          <w:lang w:val="mn-MN"/>
        </w:rPr>
      </w:r>
    </w:p>
    <w:p>
      <w:pPr>
        <w:pStyle w:val="style0"/>
        <w:spacing w:after="0" w:before="0" w:line="100" w:lineRule="atLeast"/>
        <w:contextualSpacing w:val="false"/>
        <w:jc w:val="center"/>
      </w:pPr>
      <w:r>
        <w:rPr>
          <w:rFonts w:ascii="Arial" w:cs="Arial" w:hAnsi="Arial"/>
          <w:i/>
          <w:sz w:val="24"/>
          <w:szCs w:val="24"/>
          <w:lang w:val="mn-MN"/>
        </w:rPr>
        <w:t xml:space="preserve">Агаарын бохирдлыг бууруулах чиглэлээр 2016 онд хэрэгжүүлж </w:t>
      </w:r>
    </w:p>
    <w:p>
      <w:pPr>
        <w:pStyle w:val="style0"/>
        <w:spacing w:after="0" w:before="0" w:line="100" w:lineRule="atLeast"/>
        <w:contextualSpacing w:val="false"/>
        <w:jc w:val="center"/>
      </w:pPr>
      <w:r>
        <w:rPr>
          <w:rFonts w:ascii="Arial" w:cs="Arial" w:hAnsi="Arial"/>
          <w:i/>
          <w:sz w:val="24"/>
          <w:szCs w:val="24"/>
          <w:lang w:val="mn-MN"/>
        </w:rPr>
        <w:t xml:space="preserve">буй ажил, цаашдын авч хэрэгжүүлэх арга хэмжээ </w:t>
      </w:r>
    </w:p>
    <w:p>
      <w:pPr>
        <w:pStyle w:val="style0"/>
        <w:spacing w:after="0" w:before="0" w:line="100" w:lineRule="atLeast"/>
        <w:contextualSpacing w:val="false"/>
      </w:pPr>
      <w:r>
        <w:rPr>
          <w:rFonts w:ascii="Arial" w:cs="Arial" w:hAnsi="Arial"/>
          <w:i/>
          <w:sz w:val="24"/>
          <w:szCs w:val="24"/>
          <w:lang w:val="mn-MN"/>
        </w:rPr>
      </w:r>
    </w:p>
    <w:p>
      <w:pPr>
        <w:pStyle w:val="style57"/>
        <w:jc w:val="both"/>
      </w:pPr>
      <w:r>
        <w:rPr>
          <w:rFonts w:ascii="Arial" w:cs="Arial" w:hAnsi="Arial"/>
          <w:b/>
          <w:lang w:val="mn-MN"/>
        </w:rPr>
        <w:t xml:space="preserve">Нэг. Агаарын чанарын төлөв байдал: </w:t>
      </w:r>
    </w:p>
    <w:p>
      <w:pPr>
        <w:pStyle w:val="style0"/>
        <w:spacing w:after="0" w:before="0" w:line="100" w:lineRule="atLeast"/>
        <w:ind w:firstLine="720" w:left="0" w:right="0"/>
        <w:contextualSpacing w:val="false"/>
        <w:jc w:val="both"/>
      </w:pPr>
      <w:r>
        <w:rPr>
          <w:rFonts w:ascii="Arial" w:cs="Arial" w:hAnsi="Arial"/>
          <w:sz w:val="24"/>
          <w:szCs w:val="24"/>
          <w:lang w:val="mn-MN"/>
        </w:rPr>
        <w:t>Улаанбаатар хотын агаарын чанарыг хянахдаа нийт 14 цэгт агаар бохирдуулах бодис болох хүхэрлэг хий</w:t>
      </w:r>
      <w:r>
        <w:rPr>
          <w:rFonts w:ascii="Arial" w:cs="Arial" w:hAnsi="Arial"/>
          <w:sz w:val="24"/>
          <w:szCs w:val="24"/>
        </w:rPr>
        <w:t xml:space="preserve"> (SO</w:t>
      </w:r>
      <w:r>
        <w:rPr>
          <w:rFonts w:ascii="Arial" w:cs="Arial" w:hAnsi="Arial"/>
          <w:sz w:val="24"/>
          <w:szCs w:val="24"/>
          <w:vertAlign w:val="subscript"/>
        </w:rPr>
        <w:t>2</w:t>
      </w:r>
      <w:r>
        <w:rPr>
          <w:rFonts w:ascii="Arial" w:cs="Arial" w:hAnsi="Arial"/>
          <w:sz w:val="24"/>
          <w:szCs w:val="24"/>
        </w:rPr>
        <w:t>)</w:t>
      </w:r>
      <w:r>
        <w:rPr>
          <w:rFonts w:ascii="Arial" w:cs="Arial" w:hAnsi="Arial"/>
          <w:sz w:val="24"/>
          <w:szCs w:val="24"/>
          <w:lang w:val="mn-MN"/>
        </w:rPr>
        <w:t>, азотын давхар исэл</w:t>
      </w:r>
      <w:r>
        <w:rPr>
          <w:rFonts w:ascii="Arial" w:cs="Arial" w:hAnsi="Arial"/>
          <w:sz w:val="24"/>
          <w:szCs w:val="24"/>
        </w:rPr>
        <w:t xml:space="preserve"> (NO</w:t>
      </w:r>
      <w:r>
        <w:rPr>
          <w:rFonts w:ascii="Arial" w:cs="Arial" w:hAnsi="Arial"/>
          <w:sz w:val="24"/>
          <w:szCs w:val="24"/>
          <w:vertAlign w:val="subscript"/>
        </w:rPr>
        <w:t>2</w:t>
      </w:r>
      <w:r>
        <w:rPr>
          <w:rFonts w:ascii="Arial" w:cs="Arial" w:hAnsi="Arial"/>
          <w:sz w:val="24"/>
          <w:szCs w:val="24"/>
        </w:rPr>
        <w:t>)</w:t>
      </w:r>
      <w:r>
        <w:rPr>
          <w:rFonts w:ascii="Arial" w:cs="Arial" w:hAnsi="Arial"/>
          <w:sz w:val="24"/>
          <w:szCs w:val="24"/>
          <w:lang w:val="mn-MN"/>
        </w:rPr>
        <w:t xml:space="preserve">, том ширхэглэгт тоосонцор </w:t>
      </w:r>
      <w:r>
        <w:rPr>
          <w:rFonts w:ascii="Arial" w:cs="Arial" w:hAnsi="Arial"/>
          <w:sz w:val="24"/>
          <w:szCs w:val="24"/>
        </w:rPr>
        <w:t xml:space="preserve">(PM10), </w:t>
      </w:r>
      <w:r>
        <w:rPr>
          <w:rFonts w:ascii="Arial" w:cs="Arial" w:hAnsi="Arial"/>
          <w:sz w:val="24"/>
          <w:szCs w:val="24"/>
          <w:lang w:val="mn-MN"/>
        </w:rPr>
        <w:t>нарийн ширхэглэгт тоосонцор</w:t>
      </w:r>
      <w:r>
        <w:rPr>
          <w:rFonts w:ascii="Arial" w:cs="Arial" w:hAnsi="Arial"/>
          <w:sz w:val="24"/>
          <w:szCs w:val="24"/>
        </w:rPr>
        <w:t xml:space="preserve"> (</w:t>
      </w:r>
      <w:r>
        <w:rPr>
          <w:rFonts w:ascii="Arial" w:cs="Arial" w:hAnsi="Arial"/>
          <w:sz w:val="24"/>
          <w:szCs w:val="24"/>
          <w:lang w:val="mn-MN"/>
        </w:rPr>
        <w:t>РМ2</w:t>
      </w:r>
      <w:r>
        <w:rPr>
          <w:rFonts w:ascii="Arial" w:cs="Arial" w:hAnsi="Arial"/>
          <w:sz w:val="24"/>
          <w:szCs w:val="24"/>
        </w:rPr>
        <w:t>.</w:t>
      </w: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 xml:space="preserve">, нүүрстөрөгчийн дутуу исэл буюу угаарын хийн </w:t>
      </w:r>
      <w:r>
        <w:rPr>
          <w:rFonts w:ascii="Arial" w:cs="Arial" w:hAnsi="Arial"/>
          <w:sz w:val="24"/>
          <w:szCs w:val="24"/>
        </w:rPr>
        <w:t xml:space="preserve">(CO) </w:t>
      </w:r>
      <w:r>
        <w:rPr>
          <w:rFonts w:ascii="Arial" w:cs="Arial" w:hAnsi="Arial"/>
          <w:sz w:val="24"/>
          <w:szCs w:val="24"/>
          <w:lang w:val="mn-MN"/>
        </w:rPr>
        <w:t xml:space="preserve">агууламжийг  тодорхойлж байна. Үүний 10 нь ЦУОШГ-ын Агаарын чанарын албанд, 4 нь Нийслэлийн агаарын чанарын албанд харьяалагддаг. </w:t>
      </w:r>
    </w:p>
    <w:p>
      <w:pPr>
        <w:pStyle w:val="style0"/>
        <w:spacing w:after="0" w:before="0" w:line="100" w:lineRule="atLeast"/>
        <w:ind w:firstLine="720" w:left="0" w:right="0"/>
        <w:contextualSpacing w:val="false"/>
        <w:jc w:val="both"/>
      </w:pPr>
      <w:r>
        <w:rPr>
          <w:rFonts w:ascii="Arial" w:cs="Arial" w:eastAsia="MS Gothic" w:hAnsi="Arial"/>
          <w:sz w:val="24"/>
          <w:szCs w:val="24"/>
          <w:lang w:val="mn-MN"/>
        </w:rPr>
        <w:t>2012 онд Улаанбаатар хотын агаарын чанарыг 10 автомат харуулаар хэмжиж байсан бол 2016 онд Улаанбаатар хотын агаарын бохирдлын хяналтын чадавхыг бэхжүүлэх төсөл-2 болон Сөүл хотын хамтын ажиллагааны хүрээнд 2 суурин харуулыг шинээр нэмж байрлуулснаар 12 цэгт орчны агаарын чанарыг хэмжих боломжтой болж, хяналтын сүлжээний хүчин чадал нэмэгдэнэ.</w:t>
      </w:r>
    </w:p>
    <w:p>
      <w:pPr>
        <w:pStyle w:val="style0"/>
        <w:tabs>
          <w:tab w:leader="none" w:pos="720" w:val="left"/>
          <w:tab w:leader="none" w:pos="1440" w:val="left"/>
          <w:tab w:leader="none" w:pos="2160" w:val="left"/>
          <w:tab w:leader="none" w:pos="2880" w:val="left"/>
          <w:tab w:leader="none" w:pos="4874" w:val="center"/>
        </w:tabs>
        <w:spacing w:after="0" w:before="0" w:line="100" w:lineRule="atLeast"/>
        <w:contextualSpacing w:val="false"/>
        <w:jc w:val="both"/>
      </w:pPr>
      <w:r>
        <w:rPr>
          <w:rFonts w:ascii="Arial" w:cs="Arial" w:eastAsia="Calibri" w:hAnsi="Arial"/>
          <w:sz w:val="24"/>
          <w:szCs w:val="24"/>
          <w:lang w:val="mn-MN"/>
        </w:rPr>
        <w:tab/>
        <w:t>2010-2015 оны агаарын чанарын хяналтын дүнг агаарын чанарын MNS4585:2007 стандартын  хүлцэх хэм хэмжээтэй харьцуулж, нэгтгэсэн дүнг дор үзүүлэв.</w:t>
      </w:r>
    </w:p>
    <w:p>
      <w:pPr>
        <w:pStyle w:val="style58"/>
        <w:spacing w:after="28" w:before="28"/>
        <w:contextualSpacing w:val="false"/>
        <w:jc w:val="center"/>
      </w:pPr>
      <w:r>
        <w:rPr>
          <w:rFonts w:ascii="Arial" w:hAnsi="Arial"/>
        </w:rPr>
        <w:drawing>
          <wp:inline distB="0" distL="0" distR="0" distT="0">
            <wp:extent cx="3284220" cy="163576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3284220" cy="1635760"/>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Fonts w:ascii="Arial" w:cs="Arial" w:hAnsi="Arial"/>
          <w:i/>
          <w:sz w:val="22"/>
          <w:szCs w:val="24"/>
          <w:lang w:val="mn-MN"/>
        </w:rPr>
        <w:t>Зураг 1. Том ширхэглэгт тоосонцор /РМ</w:t>
      </w:r>
      <w:r>
        <w:rPr>
          <w:rFonts w:ascii="Arial" w:cs="Arial" w:hAnsi="Arial"/>
          <w:i/>
          <w:sz w:val="22"/>
          <w:szCs w:val="24"/>
          <w:vertAlign w:val="subscript"/>
          <w:lang w:val="mn-MN"/>
        </w:rPr>
        <w:t>10</w:t>
      </w:r>
      <w:r>
        <w:rPr>
          <w:rFonts w:ascii="Arial" w:cs="Arial" w:hAnsi="Arial"/>
          <w:i/>
          <w:sz w:val="22"/>
          <w:szCs w:val="24"/>
          <w:lang w:val="mn-MN"/>
        </w:rPr>
        <w:t xml:space="preserve">/-ын жилийн дундаж </w:t>
      </w:r>
    </w:p>
    <w:p>
      <w:pPr>
        <w:pStyle w:val="style0"/>
        <w:spacing w:after="0" w:before="0" w:line="100" w:lineRule="atLeast"/>
        <w:contextualSpacing w:val="false"/>
        <w:jc w:val="center"/>
      </w:pPr>
      <w:r>
        <w:rPr>
          <w:rFonts w:ascii="Arial" w:cs="Arial" w:hAnsi="Arial"/>
          <w:i/>
          <w:sz w:val="22"/>
          <w:szCs w:val="24"/>
          <w:lang w:val="mn-MN"/>
        </w:rPr>
        <w:t>агууламж, 2011-2015 он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2014-2015 оны өвлийн улирлын том</w:t>
      </w:r>
      <w:r>
        <w:rPr>
          <w:rFonts w:ascii="Arial" w:cs="Arial" w:hAnsi="Arial"/>
          <w:sz w:val="24"/>
          <w:szCs w:val="24"/>
        </w:rPr>
        <w:t xml:space="preserve"> </w:t>
      </w:r>
      <w:r>
        <w:rPr>
          <w:rFonts w:ascii="Arial" w:cs="Arial" w:hAnsi="Arial"/>
          <w:sz w:val="24"/>
          <w:szCs w:val="24"/>
          <w:lang w:val="mn-MN"/>
        </w:rPr>
        <w:t xml:space="preserve">ширхэгт тоосонцор </w:t>
      </w:r>
      <w:r>
        <w:rPr>
          <w:rFonts w:ascii="Arial" w:cs="Arial" w:hAnsi="Arial"/>
          <w:sz w:val="24"/>
          <w:szCs w:val="24"/>
        </w:rPr>
        <w:t>(PM10)-</w:t>
      </w:r>
      <w:r>
        <w:rPr>
          <w:rFonts w:ascii="Arial" w:cs="Arial" w:hAnsi="Arial"/>
          <w:sz w:val="24"/>
          <w:szCs w:val="24"/>
          <w:lang w:val="mn-MN"/>
        </w:rPr>
        <w:t xml:space="preserve">ын дундаж агууламжийг 2011-2012 оны мөн үетэй харьцуулахад </w:t>
      </w:r>
      <w:r>
        <w:rPr>
          <w:rFonts w:ascii="Arial" w:cs="Arial" w:hAnsi="Arial"/>
          <w:b/>
          <w:bCs/>
          <w:sz w:val="24"/>
          <w:szCs w:val="24"/>
          <w:lang w:val="mn-MN"/>
        </w:rPr>
        <w:t>50%</w:t>
      </w:r>
      <w:r>
        <w:rPr>
          <w:rFonts w:ascii="Arial" w:cs="Arial" w:hAnsi="Arial"/>
          <w:sz w:val="24"/>
          <w:szCs w:val="24"/>
          <w:lang w:val="mn-MN"/>
        </w:rPr>
        <w:t xml:space="preserve">, 2012-2013, 2013-2014 онтой харьцуулахад тус бүр </w:t>
      </w:r>
      <w:r>
        <w:rPr>
          <w:rFonts w:ascii="Arial" w:cs="Arial" w:hAnsi="Arial"/>
          <w:b/>
          <w:bCs/>
          <w:sz w:val="24"/>
          <w:szCs w:val="24"/>
          <w:lang w:val="mn-MN"/>
        </w:rPr>
        <w:t>26%</w:t>
      </w:r>
      <w:r>
        <w:rPr>
          <w:rFonts w:ascii="Arial" w:cs="Arial" w:hAnsi="Arial"/>
          <w:sz w:val="24"/>
          <w:szCs w:val="24"/>
          <w:lang w:val="mn-MN"/>
        </w:rPr>
        <w:t xml:space="preserve">-аар бага байна. </w:t>
      </w:r>
    </w:p>
    <w:p>
      <w:pPr>
        <w:pStyle w:val="style0"/>
        <w:spacing w:after="0" w:before="0" w:line="100" w:lineRule="atLeast"/>
        <w:ind w:firstLine="720" w:left="0" w:right="0"/>
        <w:contextualSpacing w:val="false"/>
        <w:jc w:val="both"/>
      </w:pPr>
      <w:r>
        <w:rPr>
          <w:rFonts w:ascii="Arial" w:cs="Arial" w:hAnsi="Arial"/>
          <w:sz w:val="24"/>
          <w:szCs w:val="24"/>
        </w:rPr>
        <w:t>АЧС</w:t>
      </w:r>
      <w:r>
        <w:rPr>
          <w:rFonts w:ascii="Arial" w:cs="Arial" w:hAnsi="Arial"/>
          <w:sz w:val="24"/>
          <w:szCs w:val="24"/>
          <w:lang w:val="mn-MN"/>
        </w:rPr>
        <w:t xml:space="preserve">-тай харьцуулахад 2011-2012 онд </w:t>
      </w:r>
      <w:r>
        <w:rPr>
          <w:rFonts w:ascii="Arial" w:cs="Arial" w:hAnsi="Arial"/>
          <w:b/>
          <w:bCs/>
          <w:sz w:val="24"/>
          <w:szCs w:val="24"/>
          <w:lang w:val="mn-MN"/>
        </w:rPr>
        <w:t>3.8</w:t>
      </w:r>
      <w:r>
        <w:rPr>
          <w:rFonts w:ascii="Arial" w:cs="Arial" w:hAnsi="Arial"/>
          <w:sz w:val="24"/>
          <w:szCs w:val="24"/>
          <w:lang w:val="mn-MN"/>
        </w:rPr>
        <w:t xml:space="preserve"> дахин, 2012-2013, 2013-2014 онд </w:t>
      </w:r>
      <w:r>
        <w:rPr>
          <w:rFonts w:ascii="Arial" w:cs="Arial" w:hAnsi="Arial"/>
          <w:b/>
          <w:bCs/>
          <w:sz w:val="24"/>
          <w:szCs w:val="24"/>
          <w:lang w:val="mn-MN"/>
        </w:rPr>
        <w:t>2.6</w:t>
      </w:r>
      <w:r>
        <w:rPr>
          <w:rFonts w:ascii="Arial" w:cs="Arial" w:hAnsi="Arial"/>
          <w:sz w:val="24"/>
          <w:szCs w:val="24"/>
          <w:lang w:val="mn-MN"/>
        </w:rPr>
        <w:t xml:space="preserve"> дахин, 2014-2015 онд </w:t>
      </w:r>
      <w:r>
        <w:rPr>
          <w:rFonts w:ascii="Arial" w:cs="Arial" w:hAnsi="Arial"/>
          <w:b/>
          <w:bCs/>
          <w:sz w:val="24"/>
          <w:szCs w:val="24"/>
          <w:lang w:val="mn-MN"/>
        </w:rPr>
        <w:t>1.9</w:t>
      </w:r>
      <w:r>
        <w:rPr>
          <w:rFonts w:ascii="Arial" w:cs="Arial" w:hAnsi="Arial"/>
          <w:sz w:val="24"/>
          <w:szCs w:val="24"/>
          <w:lang w:val="mn-MN"/>
        </w:rPr>
        <w:t xml:space="preserve"> дахин их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contextualSpacing w:val="false"/>
        <w:jc w:val="center"/>
      </w:pPr>
      <w:r>
        <w:rPr>
          <w:rFonts w:ascii="Arial" w:hAnsi="Arial"/>
        </w:rPr>
        <w:drawing>
          <wp:inline distB="0" distL="0" distR="0" distT="0">
            <wp:extent cx="3322320" cy="172212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3322320" cy="1722120"/>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Fonts w:ascii="Arial" w:cs="Arial" w:eastAsia="Calibri" w:hAnsi="Arial"/>
          <w:i/>
          <w:sz w:val="22"/>
          <w:szCs w:val="24"/>
          <w:lang w:val="mn-MN"/>
        </w:rPr>
        <w:t>Зураг 2. Нарийн ширхэгт тоосонцор /РМ</w:t>
      </w:r>
      <w:r>
        <w:rPr>
          <w:rFonts w:ascii="Arial" w:cs="Arial" w:eastAsia="Calibri" w:hAnsi="Arial"/>
          <w:i/>
          <w:sz w:val="22"/>
          <w:szCs w:val="24"/>
          <w:vertAlign w:val="subscript"/>
          <w:lang w:val="mn-MN"/>
        </w:rPr>
        <w:t>2.5</w:t>
      </w:r>
      <w:r>
        <w:rPr>
          <w:rFonts w:ascii="Arial" w:cs="Arial" w:eastAsia="Calibri" w:hAnsi="Arial"/>
          <w:i/>
          <w:sz w:val="22"/>
          <w:szCs w:val="24"/>
          <w:lang w:val="mn-MN"/>
        </w:rPr>
        <w:t xml:space="preserve">/-ын жилийн дундаж </w:t>
      </w:r>
    </w:p>
    <w:p>
      <w:pPr>
        <w:pStyle w:val="style0"/>
        <w:spacing w:after="0" w:before="0" w:line="100" w:lineRule="atLeast"/>
        <w:contextualSpacing w:val="false"/>
        <w:jc w:val="center"/>
      </w:pPr>
      <w:r>
        <w:rPr>
          <w:rFonts w:ascii="Arial" w:cs="Arial" w:eastAsia="Calibri" w:hAnsi="Arial"/>
          <w:i/>
          <w:sz w:val="22"/>
          <w:szCs w:val="24"/>
          <w:lang w:val="mn-MN"/>
        </w:rPr>
        <w:t>агууламж, 2011-2015 он</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2014-2015 оны өвлийн улирлын нарийн ширхэгт тоосонцор </w:t>
      </w:r>
      <w:r>
        <w:rPr>
          <w:rFonts w:ascii="Arial" w:cs="Arial" w:eastAsia="Calibri" w:hAnsi="Arial"/>
          <w:sz w:val="24"/>
          <w:szCs w:val="24"/>
        </w:rPr>
        <w:t>(PM</w:t>
      </w:r>
      <w:r>
        <w:rPr>
          <w:rFonts w:ascii="Arial" w:cs="Arial" w:eastAsia="Calibri" w:hAnsi="Arial"/>
          <w:sz w:val="24"/>
          <w:szCs w:val="24"/>
          <w:lang w:val="mn-MN"/>
        </w:rPr>
        <w:t>2.5</w:t>
      </w:r>
      <w:r>
        <w:rPr>
          <w:rFonts w:ascii="Arial" w:cs="Arial" w:eastAsia="Calibri" w:hAnsi="Arial"/>
          <w:sz w:val="24"/>
          <w:szCs w:val="24"/>
        </w:rPr>
        <w:t>)-</w:t>
      </w:r>
      <w:r>
        <w:rPr>
          <w:rFonts w:ascii="Arial" w:cs="Arial" w:eastAsia="Calibri" w:hAnsi="Arial"/>
          <w:sz w:val="24"/>
          <w:szCs w:val="24"/>
          <w:lang w:val="mn-MN"/>
        </w:rPr>
        <w:t xml:space="preserve">ын дундаж агууламж 2011-2012 оны мөн үеэс </w:t>
      </w:r>
      <w:r>
        <w:rPr>
          <w:rFonts w:ascii="Arial" w:cs="Arial" w:eastAsia="Calibri" w:hAnsi="Arial"/>
          <w:b/>
          <w:bCs/>
          <w:sz w:val="24"/>
          <w:szCs w:val="24"/>
          <w:lang w:val="mn-MN"/>
        </w:rPr>
        <w:t>39%</w:t>
      </w:r>
      <w:r>
        <w:rPr>
          <w:rFonts w:ascii="Arial" w:cs="Arial" w:eastAsia="Calibri" w:hAnsi="Arial"/>
          <w:sz w:val="24"/>
          <w:szCs w:val="24"/>
          <w:lang w:val="mn-MN"/>
        </w:rPr>
        <w:t xml:space="preserve">, 2012-2013 оноос </w:t>
      </w:r>
      <w:r>
        <w:rPr>
          <w:rFonts w:ascii="Arial" w:cs="Arial" w:eastAsia="Calibri" w:hAnsi="Arial"/>
          <w:b/>
          <w:bCs/>
          <w:sz w:val="24"/>
          <w:szCs w:val="24"/>
          <w:lang w:val="mn-MN"/>
        </w:rPr>
        <w:t>33%</w:t>
      </w:r>
      <w:r>
        <w:rPr>
          <w:rFonts w:ascii="Arial" w:cs="Arial" w:eastAsia="Calibri" w:hAnsi="Arial"/>
          <w:sz w:val="24"/>
          <w:szCs w:val="24"/>
          <w:lang w:val="mn-MN"/>
        </w:rPr>
        <w:t xml:space="preserve">, 2013-2014 оноос </w:t>
      </w:r>
      <w:r>
        <w:rPr>
          <w:rFonts w:ascii="Arial" w:cs="Arial" w:eastAsia="Calibri" w:hAnsi="Arial"/>
          <w:b/>
          <w:bCs/>
          <w:sz w:val="24"/>
          <w:szCs w:val="24"/>
          <w:lang w:val="mn-MN"/>
        </w:rPr>
        <w:t>16%</w:t>
      </w:r>
      <w:r>
        <w:rPr>
          <w:rFonts w:ascii="Arial" w:cs="Arial" w:eastAsia="Calibri" w:hAnsi="Arial"/>
          <w:sz w:val="24"/>
          <w:szCs w:val="24"/>
          <w:lang w:val="mn-MN"/>
        </w:rPr>
        <w:t xml:space="preserve">-иар тус тус бага байна. АЧС-тай харьцуулахад 2011-2012 онд 2.8 дахин, 2012-2013 онд 2.6 дахин, 2013-2014 онд 2.0 дахин, 2014-2015 онд 1.7 дахин их байна. </w:t>
      </w:r>
    </w:p>
    <w:p>
      <w:pPr>
        <w:pStyle w:val="style0"/>
        <w:spacing w:after="0" w:before="0" w:line="100" w:lineRule="atLeast"/>
        <w:ind w:firstLine="720" w:left="0" w:right="0"/>
        <w:contextualSpacing w:val="false"/>
        <w:jc w:val="both"/>
      </w:pPr>
      <w:r>
        <w:rPr>
          <w:rFonts w:ascii="Arial" w:cs="Arial" w:eastAsia="Calibri" w:hAnsi="Arial"/>
          <w:sz w:val="24"/>
          <w:szCs w:val="24"/>
        </w:rPr>
      </w:r>
    </w:p>
    <w:p>
      <w:pPr>
        <w:pStyle w:val="style0"/>
        <w:spacing w:after="0" w:before="0" w:line="100" w:lineRule="atLeast"/>
        <w:contextualSpacing w:val="false"/>
        <w:jc w:val="center"/>
      </w:pPr>
      <w:r>
        <w:rPr>
          <w:rFonts w:ascii="Arial" w:hAnsi="Arial"/>
        </w:rPr>
        <w:drawing>
          <wp:inline distB="0" distL="0" distR="0" distT="0">
            <wp:extent cx="3550920" cy="1701165"/>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3550920" cy="1701165"/>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Fonts w:ascii="Arial" w:cs="Arial" w:eastAsia="Calibri" w:hAnsi="Arial"/>
          <w:i/>
          <w:sz w:val="22"/>
          <w:szCs w:val="24"/>
          <w:lang w:val="mn-MN"/>
        </w:rPr>
        <w:t xml:space="preserve">Зураг 3. Азотын давхар ислийн жилийн дундаж </w:t>
      </w:r>
    </w:p>
    <w:p>
      <w:pPr>
        <w:pStyle w:val="style0"/>
        <w:spacing w:after="0" w:before="0" w:line="100" w:lineRule="atLeast"/>
        <w:contextualSpacing w:val="false"/>
        <w:jc w:val="center"/>
      </w:pPr>
      <w:r>
        <w:rPr>
          <w:rFonts w:ascii="Arial" w:cs="Arial" w:eastAsia="Calibri" w:hAnsi="Arial"/>
          <w:i/>
          <w:sz w:val="22"/>
          <w:szCs w:val="24"/>
          <w:lang w:val="mn-MN"/>
        </w:rPr>
        <w:t>агууламж, 2011-2015 он</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2014-2015 оны өвлийн улирлын азотын давхар ислийн дундаж агууламжийг 2011-2012 оны мөн үетэй харьцуулахад </w:t>
      </w:r>
      <w:r>
        <w:rPr>
          <w:rFonts w:ascii="Arial" w:cs="Arial" w:eastAsia="Calibri" w:hAnsi="Arial"/>
          <w:b/>
          <w:bCs/>
          <w:sz w:val="24"/>
          <w:szCs w:val="24"/>
          <w:lang w:val="mn-MN"/>
        </w:rPr>
        <w:t>20%</w:t>
      </w:r>
      <w:r>
        <w:rPr>
          <w:rFonts w:ascii="Arial" w:cs="Arial" w:eastAsia="Calibri" w:hAnsi="Arial"/>
          <w:sz w:val="24"/>
          <w:szCs w:val="24"/>
          <w:lang w:val="mn-MN"/>
        </w:rPr>
        <w:t xml:space="preserve">, 2012-2013 онтой харьцуулахад </w:t>
      </w:r>
      <w:r>
        <w:rPr>
          <w:rFonts w:ascii="Arial" w:cs="Arial" w:eastAsia="Calibri" w:hAnsi="Arial"/>
          <w:b/>
          <w:bCs/>
          <w:sz w:val="24"/>
          <w:szCs w:val="24"/>
          <w:lang w:val="mn-MN"/>
        </w:rPr>
        <w:t xml:space="preserve">36%, </w:t>
      </w:r>
      <w:r>
        <w:rPr>
          <w:rFonts w:ascii="Arial" w:cs="Arial" w:eastAsia="Calibri" w:hAnsi="Arial"/>
          <w:sz w:val="24"/>
          <w:szCs w:val="24"/>
          <w:lang w:val="mn-MN"/>
        </w:rPr>
        <w:t xml:space="preserve">2013-2014 онтой харьцуулахад </w:t>
      </w:r>
      <w:r>
        <w:rPr>
          <w:rFonts w:ascii="Arial" w:cs="Arial" w:eastAsia="Calibri" w:hAnsi="Arial"/>
          <w:b/>
          <w:bCs/>
          <w:sz w:val="24"/>
          <w:szCs w:val="24"/>
          <w:lang w:val="mn-MN"/>
        </w:rPr>
        <w:t>14%</w:t>
      </w:r>
      <w:r>
        <w:rPr>
          <w:rFonts w:ascii="Arial" w:cs="Arial" w:eastAsia="Calibri" w:hAnsi="Arial"/>
          <w:sz w:val="24"/>
          <w:szCs w:val="24"/>
          <w:lang w:val="mn-MN"/>
        </w:rPr>
        <w:t xml:space="preserve">-иар тус тус бага байна. </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t>АЧС-тай харьцуулахад 2011-2012 онд 1.4 дахин,  2012-2013 онд 1.7 дахин, 2013-2014 онд 1.3 дахин, 2014-2015 онд 1.1 дахин их байна.</w:t>
      </w:r>
    </w:p>
    <w:p>
      <w:pPr>
        <w:pStyle w:val="style0"/>
        <w:spacing w:after="0" w:before="0" w:line="100" w:lineRule="atLeast"/>
        <w:ind w:firstLine="720" w:left="0" w:right="0"/>
        <w:contextualSpacing w:val="false"/>
        <w:jc w:val="both"/>
      </w:pPr>
      <w:r>
        <w:rPr>
          <w:rFonts w:ascii="Arial" w:cs="Arial" w:eastAsia="Calibri" w:hAnsi="Arial"/>
          <w:sz w:val="24"/>
          <w:szCs w:val="24"/>
          <w:lang w:bidi="mn-MN" w:val="mn-MN"/>
        </w:rPr>
        <w:t>.</w:t>
      </w:r>
    </w:p>
    <w:p>
      <w:pPr>
        <w:pStyle w:val="style0"/>
        <w:tabs>
          <w:tab w:leader="none" w:pos="2828" w:val="left"/>
        </w:tabs>
        <w:spacing w:after="0" w:before="0" w:line="100" w:lineRule="atLeast"/>
        <w:contextualSpacing w:val="false"/>
        <w:jc w:val="center"/>
      </w:pPr>
      <w:r>
        <w:rPr>
          <w:rFonts w:ascii="Arial" w:hAnsi="Arial"/>
        </w:rPr>
        <w:drawing>
          <wp:inline distB="0" distL="0" distR="0" distT="0">
            <wp:extent cx="3535680" cy="1718310"/>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5"/>
                    <a:srcRect/>
                    <a:stretch>
                      <a:fillRect/>
                    </a:stretch>
                  </pic:blipFill>
                  <pic:spPr bwMode="auto">
                    <a:xfrm>
                      <a:off x="0" y="0"/>
                      <a:ext cx="3535680" cy="1718310"/>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Fonts w:ascii="Arial" w:cs="Arial" w:eastAsia="Calibri" w:hAnsi="Arial"/>
          <w:i/>
          <w:sz w:val="22"/>
          <w:szCs w:val="24"/>
          <w:lang w:val="mn-MN"/>
        </w:rPr>
        <w:t>Зураг 4. Хүхэрлэг хийн жилийн дундаж агууламж, 2011-2015 он</w:t>
      </w:r>
    </w:p>
    <w:p>
      <w:pPr>
        <w:pStyle w:val="style0"/>
        <w:spacing w:after="0" w:before="0" w:line="100" w:lineRule="atLeast"/>
        <w:contextualSpacing w:val="false"/>
        <w:jc w:val="both"/>
      </w:pPr>
      <w:r>
        <w:rPr>
          <w:rFonts w:ascii="Arial" w:cs="Arial" w:eastAsia="Calibri" w:hAnsi="Arial"/>
          <w:sz w:val="24"/>
          <w:szCs w:val="24"/>
          <w:lang w:val="mn-MN"/>
        </w:rPr>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2014-2015 оны өвлийн улирлын хүхэрлэг хийн дундаж агууламжийг 2011-2012 онтой харьцуулахад </w:t>
      </w:r>
      <w:r>
        <w:rPr>
          <w:rFonts w:ascii="Arial" w:cs="Arial" w:eastAsia="Calibri" w:hAnsi="Arial"/>
          <w:b/>
          <w:bCs/>
          <w:sz w:val="24"/>
          <w:szCs w:val="24"/>
          <w:lang w:val="mn-MN"/>
        </w:rPr>
        <w:t>41%</w:t>
      </w:r>
      <w:r>
        <w:rPr>
          <w:rFonts w:ascii="Arial" w:cs="Arial" w:eastAsia="Calibri" w:hAnsi="Arial"/>
          <w:sz w:val="24"/>
          <w:szCs w:val="24"/>
          <w:lang w:val="mn-MN"/>
        </w:rPr>
        <w:t xml:space="preserve">, 2012-2013 онтой харьцуулахад </w:t>
      </w:r>
      <w:r>
        <w:rPr>
          <w:rFonts w:ascii="Arial" w:cs="Arial" w:eastAsia="Calibri" w:hAnsi="Arial"/>
          <w:b/>
          <w:bCs/>
          <w:sz w:val="24"/>
          <w:szCs w:val="24"/>
          <w:lang w:val="mn-MN"/>
        </w:rPr>
        <w:t>20%</w:t>
      </w:r>
      <w:r>
        <w:rPr>
          <w:rFonts w:ascii="Arial" w:cs="Arial" w:eastAsia="Calibri" w:hAnsi="Arial"/>
          <w:sz w:val="24"/>
          <w:szCs w:val="24"/>
          <w:lang w:val="mn-MN"/>
        </w:rPr>
        <w:t xml:space="preserve">-иар бага, 2013-2014 онтой харьцуулахад ижил түвшинд буюу өөрчлөлтгүй байна. </w:t>
      </w:r>
    </w:p>
    <w:p>
      <w:pPr>
        <w:pStyle w:val="style0"/>
        <w:spacing w:after="0" w:before="0" w:line="100" w:lineRule="atLeast"/>
        <w:contextualSpacing w:val="false"/>
        <w:jc w:val="both"/>
      </w:pPr>
      <w:r>
        <w:rPr>
          <w:rFonts w:ascii="Arial" w:cs="Arial" w:eastAsia="Calibri" w:hAnsi="Arial"/>
          <w:sz w:val="24"/>
          <w:szCs w:val="24"/>
          <w:lang w:val="mn-MN"/>
        </w:rPr>
        <w:t>АЧС-тай харьцуулахад 2011-2012 онд 2.7 дахин,  2012-2013 онд 2 дахин, 2013-2014, 2014-2015 онд тус бүр 1.6 дахин их байна</w:t>
      </w:r>
    </w:p>
    <w:p>
      <w:pPr>
        <w:pStyle w:val="style0"/>
        <w:spacing w:after="0" w:before="0" w:line="100" w:lineRule="atLeast"/>
        <w:contextualSpacing w:val="false"/>
        <w:jc w:val="both"/>
      </w:pPr>
      <w:r>
        <w:rPr>
          <w:rFonts w:ascii="Arial" w:cs="Arial" w:hAnsi="Arial"/>
          <w:i/>
          <w:sz w:val="24"/>
          <w:szCs w:val="24"/>
          <w:u w:val="single"/>
          <w:lang w:val="mn-MN"/>
        </w:rPr>
      </w:r>
    </w:p>
    <w:p>
      <w:pPr>
        <w:pStyle w:val="style0"/>
        <w:spacing w:after="0" w:before="0" w:line="100" w:lineRule="atLeast"/>
        <w:contextualSpacing w:val="false"/>
        <w:jc w:val="both"/>
      </w:pPr>
      <w:r>
        <w:rPr>
          <w:rFonts w:ascii="Arial" w:cs="Arial" w:hAnsi="Arial"/>
          <w:b/>
          <w:i/>
          <w:sz w:val="24"/>
          <w:szCs w:val="24"/>
          <w:u w:val="single"/>
          <w:lang w:val="mn-MN"/>
        </w:rPr>
        <w:t xml:space="preserve">Улаанбаатар хотын агаарын чанар 2015 оны байдлаар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Хүйтний улирлын </w:t>
      </w:r>
      <w:r>
        <w:rPr>
          <w:rFonts w:ascii="Arial" w:cs="Arial" w:hAnsi="Arial"/>
          <w:sz w:val="24"/>
          <w:szCs w:val="24"/>
        </w:rPr>
        <w:t>(</w:t>
      </w:r>
      <w:r>
        <w:rPr>
          <w:rFonts w:ascii="Arial" w:cs="Arial" w:hAnsi="Arial"/>
          <w:sz w:val="24"/>
          <w:szCs w:val="24"/>
          <w:lang w:val="mn-MN"/>
        </w:rPr>
        <w:t>1-4,10-12 дугаар сар</w:t>
      </w:r>
      <w:r>
        <w:rPr>
          <w:rFonts w:ascii="Arial" w:cs="Arial" w:hAnsi="Arial"/>
          <w:sz w:val="24"/>
          <w:szCs w:val="24"/>
        </w:rPr>
        <w:t>)</w:t>
      </w:r>
      <w:r>
        <w:rPr>
          <w:rFonts w:ascii="Arial" w:cs="Arial" w:hAnsi="Arial"/>
          <w:sz w:val="24"/>
          <w:szCs w:val="24"/>
          <w:lang w:val="mn-MN"/>
        </w:rPr>
        <w:t xml:space="preserve"> Улаанбаатар хотын агаарын </w:t>
      </w:r>
      <w:r>
        <w:rPr>
          <w:rFonts w:ascii="Arial" w:cs="Arial" w:hAnsi="Arial"/>
          <w:color w:val="000000"/>
          <w:sz w:val="24"/>
          <w:szCs w:val="24"/>
          <w:lang w:val="mn-MN"/>
        </w:rPr>
        <w:t xml:space="preserve">чанарын төлвийг </w:t>
      </w:r>
      <w:r>
        <w:rPr>
          <w:rFonts w:ascii="Arial" w:cs="Arial" w:hAnsi="Arial"/>
          <w:sz w:val="24"/>
          <w:szCs w:val="24"/>
          <w:lang w:val="mn-MN"/>
        </w:rPr>
        <w:t xml:space="preserve">2012-2015 оны байдлаар харуулахад 1 дүгээр сард бүх бохирдуулагчдын хэмжээ хамгийн их байгаа ба том ба жижиг ширхэгт тоосонцорын хэмжээ жил ирэх тутам буурсан хандлага ажиглагдаж байгаа боловч стандартаар хүлцэх хэмжээнээс их байна.  </w:t>
      </w:r>
    </w:p>
    <w:p>
      <w:pPr>
        <w:pStyle w:val="style0"/>
        <w:spacing w:after="0" w:before="0" w:line="100" w:lineRule="atLeast"/>
        <w:contextualSpacing w:val="false"/>
      </w:pPr>
      <w:bookmarkStart w:id="0" w:name="_GoBack"/>
      <w:bookmarkEnd w:id="0"/>
      <w:r>
        <w:rPr>
          <w:rFonts w:ascii="Arial" w:hAnsi="Arial"/>
        </w:rPr>
        <w:drawing>
          <wp:inline distB="0" distL="0" distR="0" distT="0">
            <wp:extent cx="2811780" cy="1394460"/>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6"/>
                    <a:srcRect/>
                    <a:stretch>
                      <a:fillRect/>
                    </a:stretch>
                  </pic:blipFill>
                  <pic:spPr bwMode="auto">
                    <a:xfrm>
                      <a:off x="0" y="0"/>
                      <a:ext cx="2811780" cy="1394460"/>
                    </a:xfrm>
                    <a:prstGeom prst="rect">
                      <a:avLst/>
                    </a:prstGeom>
                    <a:noFill/>
                    <a:ln w="9525">
                      <a:noFill/>
                      <a:miter lim="800000"/>
                      <a:headEnd/>
                      <a:tailEnd/>
                    </a:ln>
                  </pic:spPr>
                </pic:pic>
              </a:graphicData>
            </a:graphic>
          </wp:inline>
        </w:drawing>
      </w:r>
      <w:r>
        <w:rPr>
          <w:rFonts w:ascii="Arial" w:cs="Arial" w:hAnsi="Arial"/>
          <w:bCs/>
          <w:sz w:val="24"/>
          <w:szCs w:val="24"/>
          <w:lang w:val="mn-MN"/>
        </w:rPr>
        <w:t xml:space="preserve">        </w:t>
      </w:r>
      <w:r>
        <w:rPr>
          <w:rFonts w:ascii="Arial" w:hAnsi="Arial"/>
        </w:rPr>
        <w:drawing>
          <wp:inline distB="0" distL="0" distR="0" distT="0">
            <wp:extent cx="2773680" cy="1303020"/>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7"/>
                    <a:srcRect/>
                    <a:stretch>
                      <a:fillRect/>
                    </a:stretch>
                  </pic:blipFill>
                  <pic:spPr bwMode="auto">
                    <a:xfrm>
                      <a:off x="0" y="0"/>
                      <a:ext cx="2773680" cy="1303020"/>
                    </a:xfrm>
                    <a:prstGeom prst="rect">
                      <a:avLst/>
                    </a:prstGeom>
                    <a:noFill/>
                    <a:ln w="9525">
                      <a:noFill/>
                      <a:miter lim="800000"/>
                      <a:headEnd/>
                      <a:tailEnd/>
                    </a:ln>
                  </pic:spPr>
                </pic:pic>
              </a:graphicData>
            </a:graphic>
          </wp:inline>
        </w:drawing>
      </w:r>
    </w:p>
    <w:tbl>
      <w:tblPr>
        <w:jc w:val="left"/>
        <w:tblInd w:type="dxa" w:w="-108"/>
        <w:tblBorders/>
      </w:tblPr>
      <w:tblGrid>
        <w:gridCol w:w="4982"/>
        <w:gridCol w:w="4982"/>
      </w:tblGrid>
      <w:tr>
        <w:trPr>
          <w:cantSplit w:val="false"/>
        </w:trPr>
        <w:tc>
          <w:tcPr>
            <w:tcW w:type="dxa" w:w="4982"/>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i/>
                <w:sz w:val="20"/>
                <w:szCs w:val="24"/>
                <w:lang w:val="mn-MN"/>
              </w:rPr>
              <w:t>Зураг 5</w:t>
            </w:r>
            <w:r>
              <w:rPr>
                <w:rFonts w:ascii="Arial" w:cs="Arial" w:hAnsi="Arial"/>
                <w:i/>
                <w:sz w:val="20"/>
                <w:szCs w:val="24"/>
              </w:rPr>
              <w:t>.</w:t>
            </w:r>
            <w:r>
              <w:rPr>
                <w:rFonts w:ascii="Arial" w:cs="Arial" w:hAnsi="Arial"/>
                <w:i/>
                <w:sz w:val="20"/>
                <w:szCs w:val="24"/>
                <w:lang w:val="mn-MN"/>
              </w:rPr>
              <w:t>Хүйтний улирлын том ширхэглэгт тоосонцрын сарын дундаж агууламж,</w:t>
            </w:r>
          </w:p>
          <w:p>
            <w:pPr>
              <w:pStyle w:val="style0"/>
              <w:spacing w:after="0" w:before="0" w:line="100" w:lineRule="atLeast"/>
              <w:contextualSpacing w:val="false"/>
              <w:jc w:val="center"/>
            </w:pPr>
            <w:r>
              <w:rPr>
                <w:rFonts w:ascii="Arial" w:cs="Arial" w:hAnsi="Arial"/>
                <w:i/>
                <w:sz w:val="20"/>
                <w:szCs w:val="24"/>
                <w:lang w:val="mn-MN"/>
              </w:rPr>
              <w:t>2012-2015</w:t>
            </w:r>
          </w:p>
        </w:tc>
        <w:tc>
          <w:tcPr>
            <w:tcW w:type="dxa" w:w="4982"/>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i/>
                <w:sz w:val="20"/>
                <w:szCs w:val="24"/>
                <w:lang w:val="mn-MN"/>
              </w:rPr>
              <w:t>Зураг 6</w:t>
            </w:r>
            <w:r>
              <w:rPr>
                <w:rFonts w:ascii="Arial" w:cs="Arial" w:hAnsi="Arial"/>
                <w:i/>
                <w:sz w:val="20"/>
                <w:szCs w:val="24"/>
              </w:rPr>
              <w:t>.</w:t>
            </w:r>
            <w:r>
              <w:rPr>
                <w:rFonts w:ascii="Arial" w:cs="Arial" w:hAnsi="Arial"/>
                <w:i/>
                <w:sz w:val="20"/>
                <w:szCs w:val="24"/>
                <w:lang w:val="mn-MN"/>
              </w:rPr>
              <w:t>Хүйтний улирлын нарийн ширхэглэгт тоосонцрын сарын дундаж агууламж, 2012-2015</w:t>
            </w:r>
          </w:p>
        </w:tc>
      </w:tr>
    </w:tbl>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Агаар дахь азотын давхар ислийн агууламж 1 дүгээр сард хамгийн их, 2013 онд бүх саруудад бусад онуудынхаас их байжээ. Х</w:t>
      </w:r>
      <w:r>
        <w:rPr>
          <w:rFonts w:ascii="Arial" w:cs="Arial" w:hAnsi="Arial"/>
          <w:sz w:val="24"/>
          <w:szCs w:val="24"/>
        </w:rPr>
        <w:t>үхэрлэг хийн</w:t>
      </w:r>
      <w:r>
        <w:rPr>
          <w:rFonts w:ascii="Arial" w:cs="Arial" w:hAnsi="Arial"/>
          <w:sz w:val="24"/>
          <w:szCs w:val="24"/>
          <w:lang w:val="mn-MN"/>
        </w:rPr>
        <w:t xml:space="preserve"> агууламж жил бүрийн галлагаа эхэлсэнтэй холбоотойгоор 11 сараас 3 дугаар сарыг дуустал стандартаар хүлцэх хэмжээнээс их, 1 дүгээр сард 3-4 дахин их байсан байна. </w:t>
      </w:r>
    </w:p>
    <w:p>
      <w:pPr>
        <w:pStyle w:val="style0"/>
        <w:spacing w:after="0" w:before="0" w:line="100" w:lineRule="atLeast"/>
        <w:contextualSpacing w:val="false"/>
      </w:pPr>
      <w:r>
        <w:rPr>
          <w:rFonts w:ascii="Arial" w:hAnsi="Arial"/>
        </w:rPr>
        <w:drawing>
          <wp:inline distB="0" distL="0" distR="0" distT="0">
            <wp:extent cx="2849880" cy="1432560"/>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8"/>
                    <a:srcRect/>
                    <a:stretch>
                      <a:fillRect/>
                    </a:stretch>
                  </pic:blipFill>
                  <pic:spPr bwMode="auto">
                    <a:xfrm>
                      <a:off x="0" y="0"/>
                      <a:ext cx="2849880" cy="1432560"/>
                    </a:xfrm>
                    <a:prstGeom prst="rect">
                      <a:avLst/>
                    </a:prstGeom>
                    <a:noFill/>
                    <a:ln w="9525">
                      <a:noFill/>
                      <a:miter lim="800000"/>
                      <a:headEnd/>
                      <a:tailEnd/>
                    </a:ln>
                  </pic:spPr>
                </pic:pic>
              </a:graphicData>
            </a:graphic>
          </wp:inline>
        </w:drawing>
      </w:r>
      <w:r>
        <w:rPr>
          <w:rFonts w:ascii="Arial" w:cs="Arial" w:hAnsi="Arial"/>
          <w:sz w:val="24"/>
          <w:szCs w:val="24"/>
          <w:lang w:val="mn-MN"/>
        </w:rPr>
        <w:t xml:space="preserve">       </w:t>
      </w:r>
      <w:r>
        <w:rPr>
          <w:rFonts w:ascii="Arial" w:hAnsi="Arial"/>
        </w:rPr>
        <w:drawing>
          <wp:inline distB="0" distL="0" distR="0" distT="0">
            <wp:extent cx="2773680" cy="1371600"/>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embed="rId9"/>
                    <a:srcRect/>
                    <a:stretch>
                      <a:fillRect/>
                    </a:stretch>
                  </pic:blipFill>
                  <pic:spPr bwMode="auto">
                    <a:xfrm>
                      <a:off x="0" y="0"/>
                      <a:ext cx="2773680" cy="1371600"/>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Fonts w:ascii="Arial" w:cs="Arial" w:hAnsi="Arial"/>
          <w:i/>
          <w:sz w:val="24"/>
          <w:szCs w:val="24"/>
          <w:lang w:val="mn-MN"/>
        </w:rPr>
      </w:r>
    </w:p>
    <w:p>
      <w:pPr>
        <w:pStyle w:val="style0"/>
        <w:spacing w:after="0" w:before="0" w:line="100" w:lineRule="atLeast"/>
        <w:contextualSpacing w:val="false"/>
      </w:pPr>
      <w:r>
        <w:rPr>
          <w:rFonts w:ascii="Arial" w:cs="Arial" w:hAnsi="Arial"/>
          <w:i/>
          <w:sz w:val="20"/>
          <w:szCs w:val="24"/>
          <w:lang w:val="mn-MN"/>
        </w:rPr>
        <w:t>Зураг7</w:t>
      </w:r>
      <w:r>
        <w:rPr>
          <w:rFonts w:ascii="Arial" w:cs="Arial" w:hAnsi="Arial"/>
          <w:i/>
          <w:sz w:val="20"/>
          <w:szCs w:val="24"/>
        </w:rPr>
        <w:t>.</w:t>
      </w:r>
      <w:r>
        <w:rPr>
          <w:rFonts w:ascii="Arial" w:cs="Arial" w:hAnsi="Arial"/>
          <w:i/>
          <w:sz w:val="20"/>
          <w:szCs w:val="24"/>
          <w:lang w:val="mn-MN"/>
        </w:rPr>
        <w:t xml:space="preserve"> Хүйтний улирлын азотын давхар ислийн         Зураг 8</w:t>
      </w:r>
      <w:r>
        <w:rPr>
          <w:rFonts w:ascii="Arial" w:cs="Arial" w:hAnsi="Arial"/>
          <w:i/>
          <w:sz w:val="20"/>
          <w:szCs w:val="24"/>
        </w:rPr>
        <w:t>.</w:t>
      </w:r>
      <w:r>
        <w:rPr>
          <w:rFonts w:ascii="Arial" w:cs="Arial" w:hAnsi="Arial"/>
          <w:i/>
          <w:sz w:val="20"/>
          <w:szCs w:val="24"/>
          <w:lang w:val="mn-MN"/>
        </w:rPr>
        <w:t xml:space="preserve"> Хүйтний улирлын хүхэрлэг хийн сарын сарын дундаж агууламж, 2012-2015                                дундаж агууламж, 2012-2015</w:t>
      </w:r>
    </w:p>
    <w:p>
      <w:pPr>
        <w:pStyle w:val="style0"/>
        <w:tabs>
          <w:tab w:leader="none" w:pos="720" w:val="left"/>
          <w:tab w:leader="none" w:pos="1440" w:val="left"/>
          <w:tab w:leader="none" w:pos="2160" w:val="left"/>
          <w:tab w:leader="none" w:pos="2880" w:val="left"/>
          <w:tab w:leader="none" w:pos="4874" w:val="center"/>
        </w:tabs>
        <w:spacing w:after="0" w:before="0" w:line="100" w:lineRule="atLeast"/>
        <w:contextualSpacing w:val="false"/>
        <w:jc w:val="both"/>
      </w:pPr>
      <w:r>
        <w:rPr>
          <w:rFonts w:ascii="Arial" w:cs="Arial" w:eastAsia="Calibri" w:hAnsi="Arial"/>
          <w:sz w:val="24"/>
          <w:szCs w:val="24"/>
          <w:lang w:val="mn-MN"/>
        </w:rPr>
        <w:tab/>
      </w:r>
    </w:p>
    <w:p>
      <w:pPr>
        <w:pStyle w:val="style0"/>
        <w:spacing w:after="0" w:before="0" w:line="100" w:lineRule="atLeast"/>
        <w:ind w:firstLine="720" w:left="0" w:right="0"/>
        <w:contextualSpacing w:val="false"/>
        <w:jc w:val="both"/>
      </w:pPr>
      <w:r>
        <w:rPr>
          <w:rFonts w:ascii="Arial" w:cs="Arial" w:hAnsi="Arial"/>
          <w:sz w:val="24"/>
          <w:szCs w:val="24"/>
          <w:lang w:val="mn-MN"/>
        </w:rPr>
        <w:t>2015-2016 оны хүйтний улирлын эхний саруудад буюу 2015</w:t>
      </w:r>
      <w:r>
        <w:rPr>
          <w:rFonts w:ascii="Arial" w:cs="Arial" w:hAnsi="Arial"/>
          <w:sz w:val="24"/>
          <w:szCs w:val="24"/>
        </w:rPr>
        <w:t xml:space="preserve"> </w:t>
      </w:r>
      <w:r>
        <w:rPr>
          <w:rFonts w:ascii="Arial" w:cs="Arial" w:hAnsi="Arial"/>
          <w:sz w:val="24"/>
          <w:szCs w:val="24"/>
          <w:lang w:val="mn-MN"/>
        </w:rPr>
        <w:t xml:space="preserve">оны 10-12 дугаар сард агаар дахь агаар бохирдуулах бодисын сарын дундаж агууламжийг 2014 оны мөн үетэй харьцуулахад том ширхэглэгт тоосонцор </w:t>
      </w:r>
      <w:r>
        <w:rPr>
          <w:rFonts w:ascii="Arial" w:cs="Arial" w:hAnsi="Arial"/>
          <w:b/>
          <w:sz w:val="24"/>
          <w:szCs w:val="24"/>
          <w:lang w:val="mn-MN"/>
        </w:rPr>
        <w:t>73 мкг</w:t>
      </w:r>
      <w:r>
        <w:rPr>
          <w:rFonts w:ascii="Arial" w:cs="Arial" w:hAnsi="Arial"/>
          <w:sz w:val="24"/>
          <w:szCs w:val="24"/>
          <w:lang w:val="mn-MN"/>
        </w:rPr>
        <w:t xml:space="preserve">-аар буюу </w:t>
      </w:r>
      <w:r>
        <w:rPr>
          <w:rFonts w:ascii="Arial" w:cs="Arial" w:hAnsi="Arial"/>
          <w:b/>
          <w:sz w:val="24"/>
          <w:szCs w:val="24"/>
        </w:rPr>
        <w:t>34</w:t>
      </w:r>
      <w:r>
        <w:rPr>
          <w:rFonts w:ascii="Arial" w:cs="Arial" w:hAnsi="Arial"/>
          <w:b/>
          <w:sz w:val="24"/>
          <w:szCs w:val="24"/>
          <w:lang w:val="mn-MN"/>
        </w:rPr>
        <w:t>%</w:t>
      </w:r>
      <w:r>
        <w:rPr>
          <w:rFonts w:ascii="Arial" w:cs="Arial" w:hAnsi="Arial"/>
          <w:sz w:val="24"/>
          <w:szCs w:val="24"/>
          <w:lang w:val="mn-MN"/>
        </w:rPr>
        <w:t xml:space="preserve">-иар, нарийн ширхэглэгт тоосонцор </w:t>
      </w:r>
      <w:r>
        <w:rPr>
          <w:rFonts w:ascii="Arial" w:cs="Arial" w:hAnsi="Arial"/>
          <w:b/>
          <w:sz w:val="24"/>
          <w:szCs w:val="24"/>
          <w:lang w:val="mn-MN"/>
        </w:rPr>
        <w:t>14 мкг</w:t>
      </w:r>
      <w:r>
        <w:rPr>
          <w:rFonts w:ascii="Arial" w:cs="Arial" w:hAnsi="Arial"/>
          <w:sz w:val="24"/>
          <w:szCs w:val="24"/>
          <w:lang w:val="mn-MN"/>
        </w:rPr>
        <w:t xml:space="preserve">-аар буюу </w:t>
      </w:r>
      <w:r>
        <w:rPr>
          <w:rFonts w:ascii="Arial" w:cs="Arial" w:hAnsi="Arial"/>
          <w:b/>
          <w:sz w:val="24"/>
          <w:szCs w:val="24"/>
          <w:lang w:val="mn-MN"/>
        </w:rPr>
        <w:t>15%</w:t>
      </w:r>
      <w:r>
        <w:rPr>
          <w:rFonts w:ascii="Arial" w:cs="Arial" w:hAnsi="Arial"/>
          <w:sz w:val="24"/>
          <w:szCs w:val="24"/>
          <w:lang w:val="mn-MN"/>
        </w:rPr>
        <w:t xml:space="preserve">-иар, азотын давхар исэл </w:t>
      </w:r>
      <w:r>
        <w:rPr>
          <w:rFonts w:ascii="Arial" w:cs="Arial" w:hAnsi="Arial"/>
          <w:b/>
          <w:sz w:val="24"/>
          <w:szCs w:val="24"/>
          <w:lang w:val="mn-MN"/>
        </w:rPr>
        <w:t>2 мкг</w:t>
      </w:r>
      <w:r>
        <w:rPr>
          <w:rFonts w:ascii="Arial" w:cs="Arial" w:hAnsi="Arial"/>
          <w:sz w:val="24"/>
          <w:szCs w:val="24"/>
          <w:lang w:val="mn-MN"/>
        </w:rPr>
        <w:t xml:space="preserve">-аар буюу </w:t>
      </w:r>
      <w:r>
        <w:rPr>
          <w:rFonts w:ascii="Arial" w:cs="Arial" w:hAnsi="Arial"/>
          <w:b/>
          <w:sz w:val="24"/>
          <w:szCs w:val="24"/>
          <w:lang w:val="mn-MN"/>
        </w:rPr>
        <w:t>6%</w:t>
      </w:r>
      <w:r>
        <w:rPr>
          <w:rFonts w:ascii="Arial" w:cs="Arial" w:hAnsi="Arial"/>
          <w:sz w:val="24"/>
          <w:szCs w:val="24"/>
          <w:lang w:val="mn-MN"/>
        </w:rPr>
        <w:t xml:space="preserve">-иар тус тус бага, </w:t>
      </w:r>
      <w:r>
        <w:rPr>
          <w:rFonts w:ascii="Arial" w:cs="Arial" w:hAnsi="Arial"/>
          <w:sz w:val="24"/>
          <w:szCs w:val="24"/>
          <w:lang w:bidi="mn-MN" w:val="mn-MN"/>
        </w:rPr>
        <w:t xml:space="preserve">хүхэрлэг хийн агууламж </w:t>
      </w:r>
      <w:r>
        <w:rPr>
          <w:rFonts w:ascii="Arial" w:cs="Arial" w:hAnsi="Arial"/>
          <w:b/>
          <w:sz w:val="24"/>
          <w:szCs w:val="24"/>
          <w:lang w:bidi="mn-MN" w:val="mn-MN"/>
        </w:rPr>
        <w:t>14</w:t>
      </w:r>
      <w:r>
        <w:rPr>
          <w:rFonts w:ascii="Arial" w:cs="Arial" w:hAnsi="Arial"/>
          <w:b/>
          <w:sz w:val="24"/>
          <w:szCs w:val="24"/>
          <w:lang w:val="mn-MN"/>
        </w:rPr>
        <w:t xml:space="preserve"> мкг</w:t>
      </w:r>
      <w:r>
        <w:rPr>
          <w:rFonts w:ascii="Arial" w:cs="Arial" w:hAnsi="Arial"/>
          <w:sz w:val="24"/>
          <w:szCs w:val="24"/>
          <w:lang w:val="mn-MN"/>
        </w:rPr>
        <w:t xml:space="preserve">-аар буюу </w:t>
      </w:r>
      <w:r>
        <w:rPr>
          <w:rFonts w:ascii="Arial" w:cs="Arial" w:hAnsi="Arial"/>
          <w:b/>
          <w:sz w:val="24"/>
          <w:szCs w:val="24"/>
          <w:lang w:val="mn-MN"/>
        </w:rPr>
        <w:t>54%</w:t>
      </w:r>
      <w:r>
        <w:rPr>
          <w:rFonts w:ascii="Arial" w:cs="Arial" w:hAnsi="Arial"/>
          <w:sz w:val="24"/>
          <w:szCs w:val="24"/>
          <w:lang w:val="mn-MN"/>
        </w:rPr>
        <w:t xml:space="preserve">-иар их байна. </w:t>
      </w:r>
    </w:p>
    <w:p>
      <w:pPr>
        <w:pStyle w:val="style0"/>
        <w:tabs>
          <w:tab w:leader="none" w:pos="720" w:val="left"/>
          <w:tab w:leader="none" w:pos="1440" w:val="left"/>
          <w:tab w:leader="none" w:pos="2160" w:val="left"/>
          <w:tab w:leader="none" w:pos="2880" w:val="left"/>
          <w:tab w:leader="none" w:pos="4874" w:val="center"/>
        </w:tabs>
        <w:spacing w:after="0" w:before="0" w:line="100" w:lineRule="atLeast"/>
        <w:contextualSpacing w:val="false"/>
        <w:jc w:val="both"/>
      </w:pPr>
      <w:r>
        <w:rPr>
          <w:rFonts w:ascii="Arial" w:cs="Arial" w:hAnsi="Arial"/>
          <w:b/>
          <w:sz w:val="24"/>
          <w:szCs w:val="24"/>
          <w:lang w:val="mn-MN"/>
        </w:rPr>
      </w:r>
    </w:p>
    <w:p>
      <w:pPr>
        <w:pStyle w:val="style0"/>
        <w:tabs>
          <w:tab w:leader="none" w:pos="720" w:val="left"/>
          <w:tab w:leader="none" w:pos="1440" w:val="left"/>
          <w:tab w:leader="none" w:pos="2160" w:val="left"/>
          <w:tab w:leader="none" w:pos="2880" w:val="left"/>
          <w:tab w:leader="none" w:pos="4874" w:val="center"/>
        </w:tabs>
        <w:spacing w:after="0" w:before="0" w:line="100" w:lineRule="atLeast"/>
        <w:contextualSpacing w:val="false"/>
        <w:jc w:val="both"/>
      </w:pPr>
      <w:r>
        <w:rPr>
          <w:rFonts w:ascii="Arial" w:cs="Arial" w:hAnsi="Arial"/>
          <w:b/>
          <w:sz w:val="24"/>
          <w:szCs w:val="24"/>
          <w:lang w:val="mn-MN"/>
        </w:rPr>
        <w:t>Хоёр. 2016 онд аймаг, нийслэлийн Засаг дарга нартай БОНХАЖ-ын сайд хамтран агаарын бохирдлыг бууруулах чиглэлээр авч хэрэгжүүлэх арга хэмжээний тухай</w:t>
      </w:r>
    </w:p>
    <w:p>
      <w:pPr>
        <w:pStyle w:val="style0"/>
        <w:tabs>
          <w:tab w:leader="none" w:pos="720" w:val="left"/>
          <w:tab w:leader="none" w:pos="1440" w:val="left"/>
          <w:tab w:leader="none" w:pos="2160" w:val="left"/>
          <w:tab w:leader="none" w:pos="2880" w:val="left"/>
          <w:tab w:leader="none" w:pos="4874" w:val="center"/>
        </w:tabs>
        <w:spacing w:after="0" w:before="0" w:line="100" w:lineRule="atLeast"/>
        <w:contextualSpacing w:val="false"/>
        <w:jc w:val="both"/>
      </w:pPr>
      <w:r>
        <w:rPr>
          <w:rFonts w:ascii="Arial" w:cs="Arial" w:hAnsi="Arial"/>
          <w:i/>
          <w:sz w:val="24"/>
          <w:szCs w:val="24"/>
          <w:u w:val="single"/>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2015 оны 12 дугаар сарын 23-ны өдрийн А/434, А/989 дугаар БОНХАЖ-ын сайд, НЗД-ын хамтарсан тушаал, захирамжаар нийслэлийн агаарын чанарыг сайжруулах бүсийг шинэчлэн тогтоосон.  Агаарын чанарыг сайжруулах 2 дугаар бүсэд орших БГД-ийн </w:t>
      </w:r>
      <w:r>
        <w:rPr>
          <w:rFonts w:ascii="Arial" w:cs="Arial" w:hAnsi="Arial"/>
          <w:bCs/>
          <w:iCs/>
          <w:sz w:val="24"/>
          <w:szCs w:val="24"/>
          <w:lang w:val="mn-MN"/>
        </w:rPr>
        <w:t xml:space="preserve">гэр хорооллын 10-12 мянган айл өрхийг “Хур туг”, “Хөх чоно”, “Баялаг эрдэнэ цом”, “Шарын гол”ХХК, “Үртсэн шахмал түлшний үйлдвэр” НӨҮГ зэрэг аж ахуйн нэгжүүдийн 6-9 мян.тн боловсруулсан түлшээр хангах, ХУД-ийн 10 орчим мянган айл өрхийн хэрэглэж буй түүхий нүүрсийг нүүрс цэвэршүүлэгч бодисоор баяжуулах турших ажил, </w:t>
      </w:r>
      <w:r>
        <w:rPr>
          <w:rFonts w:ascii="Arial" w:cs="Arial" w:hAnsi="Arial"/>
          <w:color w:val="000000"/>
          <w:sz w:val="24"/>
          <w:szCs w:val="24"/>
          <w:lang w:val="mn-MN"/>
        </w:rPr>
        <w:t>эхний ээлжид гэр хорооллын айл өрхийн цахилгаан хангамжийн найдвартай ажиллагааг дээшлүүлэх чиглэлээр их тойруугийн 110 кВ-ын дэд станцуудаас хэт ачаалагдсан 4 шугамын ачаалал хөнгөвчлөх угсралтын ажил, агаарын бохирдол ихтэй бүсэд байгаа цэцэрлэгүүдийн усан халаалтын зуухнуудыг шинэ дэвшилтэт технологид шилжүүлэх зэрэг ажлуудад нийт 3.2 тэрбум төгрөг төсөвлөсөн.</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Агаарын бохирдол ихтэй аймгуудын агаарын чанарыг сайжруулах бүсэд </w:t>
      </w:r>
      <w:r>
        <w:rPr>
          <w:rFonts w:ascii="Arial" w:cs="Arial" w:hAnsi="Arial"/>
          <w:bCs/>
          <w:iCs/>
          <w:sz w:val="24"/>
          <w:szCs w:val="24"/>
          <w:lang w:val="mn-MN"/>
        </w:rPr>
        <w:t xml:space="preserve">БОНХАЖЯ, АЗДТГ-тай хамтран </w:t>
      </w:r>
      <w:r>
        <w:rPr>
          <w:rFonts w:ascii="Arial" w:cs="Arial" w:hAnsi="Arial"/>
          <w:sz w:val="24"/>
          <w:szCs w:val="24"/>
          <w:lang w:val="mn-MN"/>
        </w:rPr>
        <w:t>Хөвсгөл, Баянхонгор аймагт агаар дахь тоосонцрыг хэмжих багаж хэрэгсэл, Өмнөговь, Баянхонгор, Дархан-уул, Орхон аймгуудад сайжруулсан зуух хөнгөлөлттэй үнээр нийлүүлэх, Өвөрхангай аймагт а</w:t>
      </w:r>
      <w:r>
        <w:rPr>
          <w:rFonts w:ascii="Arial" w:cs="Arial" w:hAnsi="Arial"/>
          <w:color w:val="000000"/>
          <w:sz w:val="24"/>
          <w:szCs w:val="24"/>
          <w:lang w:val="mn-MN"/>
        </w:rPr>
        <w:t>ж ахуйн нэгж, байгууллагуудыг нэгдсэн халаалтын системд холбо</w:t>
      </w:r>
      <w:r>
        <w:rPr>
          <w:rFonts w:ascii="Arial" w:cs="Arial" w:hAnsi="Arial"/>
          <w:color w:val="000000"/>
          <w:sz w:val="24"/>
          <w:szCs w:val="24"/>
        </w:rPr>
        <w:t xml:space="preserve">х </w:t>
      </w:r>
      <w:r>
        <w:rPr>
          <w:rFonts w:ascii="Arial" w:cs="Arial" w:hAnsi="Arial"/>
          <w:color w:val="000000"/>
          <w:sz w:val="24"/>
          <w:szCs w:val="24"/>
          <w:lang w:val="mn-MN"/>
        </w:rPr>
        <w:t xml:space="preserve">шугам хоолойн угсралтын ажил, аймгийн төвийн хэмжээнд үйл ажиллагаа явуулж буй 16 том оворын халаалтын зуухны янданд  шүүлтүүр тавих зэрэг ажлуудад нийт 1.2 тэрбум төгрөг төсөвлөсөн. </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i/>
          <w:sz w:val="24"/>
          <w:szCs w:val="24"/>
          <w:u w:val="single"/>
          <w:lang w:val="mn-MN"/>
        </w:rPr>
        <w:t xml:space="preserve">Нийслэлийн агаарын чанарыг сайжруулах бүсэд </w:t>
      </w:r>
      <w:r>
        <w:rPr>
          <w:rFonts w:ascii="Arial" w:cs="Arial" w:hAnsi="Arial"/>
          <w:bCs/>
          <w:i/>
          <w:iCs/>
          <w:sz w:val="24"/>
          <w:szCs w:val="24"/>
          <w:u w:val="single"/>
          <w:lang w:val="mn-MN"/>
        </w:rPr>
        <w:t xml:space="preserve">БОНХАЖЯ, НЗДТГ-тай хамтран </w:t>
      </w:r>
      <w:r>
        <w:rPr>
          <w:rFonts w:ascii="Arial" w:cs="Arial" w:hAnsi="Arial"/>
          <w:i/>
          <w:sz w:val="24"/>
          <w:szCs w:val="24"/>
          <w:u w:val="single"/>
          <w:lang w:val="mn-MN"/>
        </w:rPr>
        <w:t xml:space="preserve"> авч хэрэгжүүлэх арга хэмжээ:</w:t>
      </w:r>
    </w:p>
    <w:p>
      <w:pPr>
        <w:pStyle w:val="style0"/>
        <w:spacing w:after="0" w:before="0" w:line="100" w:lineRule="atLeast"/>
        <w:contextualSpacing w:val="false"/>
        <w:jc w:val="both"/>
      </w:pPr>
      <w:r>
        <w:rPr>
          <w:rFonts w:ascii="Arial" w:cs="Arial" w:hAnsi="Arial"/>
          <w:i/>
          <w:sz w:val="24"/>
          <w:szCs w:val="24"/>
          <w:u w:val="single"/>
          <w:lang w:val="mn-MN"/>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3258"/>
        <w:gridCol w:w="1256"/>
        <w:gridCol w:w="1497"/>
        <w:gridCol w:w="4028"/>
      </w:tblGrid>
      <w:tr>
        <w:trPr>
          <w:trHeight w:hRule="atLeast" w:val="845"/>
          <w:cantSplit w:val="false"/>
        </w:trPr>
        <w:tc>
          <w:tcPr>
            <w:tcW w:type="dxa" w:w="3258"/>
            <w:tcBorders>
              <w:top w:color="00000A" w:space="0" w:sz="4" w:val="single"/>
              <w:left w:color="00000A" w:space="0" w:sz="4" w:val="single"/>
              <w:bottom w:color="00000A" w:space="0" w:sz="4" w:val="single"/>
              <w:right w:color="00000A" w:space="0" w:sz="4" w:val="single"/>
            </w:tcBorders>
            <w:shd w:fill="B6DDE8"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bCs/>
                <w:color w:val="000000"/>
                <w:sz w:val="22"/>
                <w:szCs w:val="24"/>
              </w:rPr>
              <w:t>2016 онд хэрэгжүүлэх үйл ажиллагаа</w:t>
            </w:r>
          </w:p>
        </w:tc>
        <w:tc>
          <w:tcPr>
            <w:tcW w:type="dxa" w:w="1256"/>
            <w:tcBorders>
              <w:top w:color="00000A" w:space="0" w:sz="4" w:val="single"/>
              <w:left w:color="00000A" w:space="0" w:sz="4" w:val="single"/>
              <w:bottom w:color="00000A" w:space="0" w:sz="4" w:val="single"/>
              <w:right w:color="00000A" w:space="0" w:sz="4" w:val="single"/>
            </w:tcBorders>
            <w:shd w:fill="B6DDE8"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bCs/>
                <w:color w:val="000000"/>
                <w:sz w:val="22"/>
                <w:szCs w:val="24"/>
                <w:lang w:val="mn-MN"/>
              </w:rPr>
              <w:t xml:space="preserve">Хугацаа </w:t>
            </w:r>
          </w:p>
        </w:tc>
        <w:tc>
          <w:tcPr>
            <w:tcW w:type="dxa" w:w="1497"/>
            <w:tcBorders>
              <w:top w:color="00000A" w:space="0" w:sz="4" w:val="single"/>
              <w:left w:color="00000A" w:space="0" w:sz="4" w:val="single"/>
              <w:bottom w:color="00000A" w:space="0" w:sz="4" w:val="single"/>
              <w:right w:color="00000A" w:space="0" w:sz="4" w:val="single"/>
            </w:tcBorders>
            <w:shd w:fill="B6DDE8"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bCs/>
                <w:color w:val="000000"/>
                <w:sz w:val="22"/>
                <w:szCs w:val="24"/>
                <w:lang w:val="mn-MN"/>
              </w:rPr>
              <w:t>Ш</w:t>
            </w:r>
            <w:r>
              <w:rPr>
                <w:rFonts w:ascii="Arial" w:cs="Arial" w:hAnsi="Arial"/>
                <w:b/>
                <w:bCs/>
                <w:color w:val="000000"/>
                <w:sz w:val="22"/>
                <w:szCs w:val="24"/>
              </w:rPr>
              <w:t>аардагдах төсөв /сая.төг/</w:t>
            </w:r>
          </w:p>
        </w:tc>
        <w:tc>
          <w:tcPr>
            <w:tcW w:type="dxa" w:w="4028"/>
            <w:tcBorders>
              <w:top w:color="00000A" w:space="0" w:sz="4" w:val="single"/>
              <w:left w:color="00000A" w:space="0" w:sz="4" w:val="single"/>
              <w:bottom w:color="00000A" w:space="0" w:sz="4" w:val="single"/>
              <w:right w:color="00000A" w:space="0" w:sz="4" w:val="single"/>
            </w:tcBorders>
            <w:shd w:fill="B6DDE8"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bCs/>
                <w:color w:val="000000"/>
                <w:sz w:val="22"/>
                <w:szCs w:val="24"/>
                <w:lang w:val="mn-MN"/>
              </w:rPr>
              <w:t xml:space="preserve">Үр дүн </w:t>
            </w:r>
          </w:p>
        </w:tc>
      </w:tr>
      <w:tr>
        <w:trPr>
          <w:trHeight w:hRule="atLeast" w:val="800"/>
          <w:cantSplit w:val="false"/>
        </w:trPr>
        <w:tc>
          <w:tcPr>
            <w:tcW w:type="dxa" w:w="32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Cs/>
                <w:iCs/>
                <w:sz w:val="22"/>
                <w:szCs w:val="24"/>
                <w:lang w:val="mn-MN"/>
              </w:rPr>
              <w:t>Гэр хорооллын 10-12 мянган айл өрхийг боловсруулсан түлшээр хангах</w:t>
            </w:r>
          </w:p>
        </w:tc>
        <w:tc>
          <w:tcPr>
            <w:tcW w:type="dxa" w:w="12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Cs/>
                <w:iCs/>
                <w:sz w:val="22"/>
                <w:szCs w:val="24"/>
              </w:rPr>
              <w:t xml:space="preserve">I </w:t>
            </w:r>
            <w:r>
              <w:rPr>
                <w:rFonts w:ascii="Arial" w:cs="Arial" w:hAnsi="Arial"/>
                <w:bCs/>
                <w:iCs/>
                <w:sz w:val="22"/>
                <w:szCs w:val="24"/>
                <w:lang w:val="mn-MN"/>
              </w:rPr>
              <w:t xml:space="preserve">улиралд </w:t>
            </w:r>
          </w:p>
        </w:tc>
        <w:tc>
          <w:tcPr>
            <w:tcW w:type="dxa" w:w="14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Cs/>
                <w:iCs/>
                <w:sz w:val="22"/>
                <w:szCs w:val="24"/>
                <w:lang w:val="mn-MN"/>
              </w:rPr>
              <w:t>1.200.0</w:t>
            </w:r>
          </w:p>
        </w:tc>
        <w:tc>
          <w:tcPr>
            <w:tcW w:type="dxa" w:w="40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Cs/>
                <w:iCs/>
                <w:sz w:val="22"/>
                <w:szCs w:val="24"/>
                <w:lang w:val="mn-MN"/>
              </w:rPr>
              <w:t xml:space="preserve">2016.04.15 хүртэл 1 айл өрх 2тн орчим боловсруулсан түлш хэрэглэнэ гэж тооцов.  </w:t>
            </w:r>
          </w:p>
        </w:tc>
      </w:tr>
      <w:tr>
        <w:trPr>
          <w:trHeight w:hRule="atLeast" w:val="1250"/>
          <w:cantSplit w:val="false"/>
        </w:trPr>
        <w:tc>
          <w:tcPr>
            <w:tcW w:type="dxa" w:w="32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Cs/>
                <w:iCs/>
                <w:sz w:val="22"/>
                <w:szCs w:val="24"/>
                <w:lang w:val="mn-MN"/>
              </w:rPr>
              <w:t xml:space="preserve">Гэр хорооллын 10 орчим мянган айл хэрэглэж буй түүхий нүүрсийг нүүрс цэвэршүүлэгч бодисоор баяжуулах турших ажил </w:t>
            </w:r>
          </w:p>
        </w:tc>
        <w:tc>
          <w:tcPr>
            <w:tcW w:type="dxa" w:w="12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Cs/>
                <w:iCs/>
                <w:sz w:val="22"/>
                <w:szCs w:val="24"/>
              </w:rPr>
              <w:t xml:space="preserve">I </w:t>
            </w:r>
            <w:r>
              <w:rPr>
                <w:rFonts w:ascii="Arial" w:cs="Arial" w:hAnsi="Arial"/>
                <w:bCs/>
                <w:iCs/>
                <w:sz w:val="22"/>
                <w:szCs w:val="24"/>
                <w:lang w:val="mn-MN"/>
              </w:rPr>
              <w:t>улиралд</w:t>
            </w:r>
          </w:p>
        </w:tc>
        <w:tc>
          <w:tcPr>
            <w:tcW w:type="dxa" w:w="149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Cs/>
                <w:iCs/>
                <w:sz w:val="22"/>
                <w:szCs w:val="24"/>
              </w:rPr>
            </w:r>
          </w:p>
          <w:p>
            <w:pPr>
              <w:pStyle w:val="style0"/>
              <w:spacing w:after="0" w:before="0" w:line="100" w:lineRule="atLeast"/>
              <w:contextualSpacing w:val="false"/>
              <w:jc w:val="center"/>
            </w:pPr>
            <w:r>
              <w:rPr>
                <w:rFonts w:ascii="Arial" w:cs="Arial" w:hAnsi="Arial"/>
                <w:bCs/>
                <w:iCs/>
                <w:sz w:val="22"/>
                <w:szCs w:val="24"/>
                <w:lang w:val="mn-MN"/>
              </w:rPr>
              <w:t>200.0</w:t>
            </w:r>
          </w:p>
        </w:tc>
        <w:tc>
          <w:tcPr>
            <w:tcW w:type="dxa" w:w="402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Cs/>
                <w:iCs/>
                <w:sz w:val="22"/>
                <w:szCs w:val="24"/>
                <w:lang w:val="mn-MN"/>
              </w:rPr>
              <w:t xml:space="preserve">Зуухны яндангаас гарах бохирдуулагч бодис ялангуяа СО-ийн хэмжээг 50-70% бууруулах боломжтой. </w:t>
            </w:r>
          </w:p>
        </w:tc>
      </w:tr>
      <w:tr>
        <w:trPr>
          <w:trHeight w:hRule="atLeast" w:val="566"/>
          <w:cantSplit w:val="false"/>
        </w:trPr>
        <w:tc>
          <w:tcPr>
            <w:tcW w:type="dxa" w:w="32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sz w:val="22"/>
                <w:szCs w:val="24"/>
                <w:lang w:val="mn-MN"/>
              </w:rPr>
              <w:t>Эхний ээлжид гэр хорооллын айл өрхийн цахилгаан хангамжийн найдвартай ажиллагааг дээшлүүлэх чиглэлээр их тойруугийн 110 кВ-ын дэд станцуудаас хэт ачаалагдсан 4 шугамын ачаалал хөнгөвчлөх угсралтын ажил</w:t>
            </w:r>
          </w:p>
        </w:tc>
        <w:tc>
          <w:tcPr>
            <w:tcW w:type="dxa" w:w="12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Cs/>
                <w:iCs/>
                <w:sz w:val="22"/>
                <w:szCs w:val="24"/>
              </w:rPr>
              <w:t>I</w:t>
            </w:r>
            <w:r>
              <w:rPr>
                <w:rFonts w:ascii="Arial" w:cs="Arial" w:hAnsi="Arial"/>
                <w:bCs/>
                <w:iCs/>
                <w:sz w:val="22"/>
                <w:szCs w:val="24"/>
                <w:lang w:val="mn-MN"/>
              </w:rPr>
              <w:t>-</w:t>
            </w:r>
            <w:r>
              <w:rPr>
                <w:rFonts w:ascii="Arial" w:cs="Arial" w:hAnsi="Arial"/>
                <w:bCs/>
                <w:iCs/>
                <w:sz w:val="22"/>
                <w:szCs w:val="24"/>
              </w:rPr>
              <w:t xml:space="preserve">III </w:t>
            </w:r>
            <w:r>
              <w:rPr>
                <w:rFonts w:ascii="Arial" w:cs="Arial" w:hAnsi="Arial"/>
                <w:bCs/>
                <w:iCs/>
                <w:sz w:val="22"/>
                <w:szCs w:val="24"/>
                <w:lang w:val="mn-MN"/>
              </w:rPr>
              <w:t>улиралд</w:t>
            </w:r>
          </w:p>
        </w:tc>
        <w:tc>
          <w:tcPr>
            <w:tcW w:type="dxa" w:w="149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szCs w:val="24"/>
                <w:lang w:val="mn-MN"/>
              </w:rPr>
              <w:t>1.350.0</w:t>
            </w:r>
          </w:p>
        </w:tc>
        <w:tc>
          <w:tcPr>
            <w:tcW w:type="dxa" w:w="402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sz w:val="22"/>
                <w:szCs w:val="24"/>
                <w:lang w:val="mn-MN"/>
              </w:rPr>
              <w:t>Их тойруугийн 110кВ-ын дэд станцуудаас хэт ачаалагдсан 4 шугамын ачааллыг хувааж шилжүүлэх ажлыг хийснээр Улаанбаатар хотын 4 дүүргийн 6000 айл өрхийн цахилгаан хангамжийн найдвартай ажиллагаа хангагдаж, цахилгаанаар халаах нөөц чадлыг бүрдүүлнэ.</w:t>
            </w:r>
          </w:p>
        </w:tc>
      </w:tr>
      <w:tr>
        <w:trPr>
          <w:trHeight w:hRule="atLeast" w:val="566"/>
          <w:cantSplit w:val="false"/>
        </w:trPr>
        <w:tc>
          <w:tcPr>
            <w:tcW w:type="dxa" w:w="32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sz w:val="22"/>
                <w:szCs w:val="24"/>
                <w:lang w:val="mn-MN"/>
              </w:rPr>
              <w:t>Агаарын бохирдол ихтэй бүсэд байгаа цэцэрлэгүүдийн усан халаалтын зуухнуудыг шинэ дэвшилтэт технологид шилжүүлэх ажил</w:t>
            </w:r>
          </w:p>
        </w:tc>
        <w:tc>
          <w:tcPr>
            <w:tcW w:type="dxa" w:w="12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Cs/>
                <w:iCs/>
                <w:sz w:val="22"/>
                <w:szCs w:val="24"/>
              </w:rPr>
              <w:t>I</w:t>
            </w:r>
            <w:r>
              <w:rPr>
                <w:rFonts w:ascii="Arial" w:cs="Arial" w:hAnsi="Arial"/>
                <w:bCs/>
                <w:iCs/>
                <w:sz w:val="22"/>
                <w:szCs w:val="24"/>
                <w:lang w:val="mn-MN"/>
              </w:rPr>
              <w:t>-</w:t>
            </w:r>
            <w:r>
              <w:rPr>
                <w:rFonts w:ascii="Arial" w:cs="Arial" w:hAnsi="Arial"/>
                <w:bCs/>
                <w:iCs/>
                <w:sz w:val="22"/>
                <w:szCs w:val="24"/>
              </w:rPr>
              <w:t xml:space="preserve">III </w:t>
            </w:r>
            <w:r>
              <w:rPr>
                <w:rFonts w:ascii="Arial" w:cs="Arial" w:hAnsi="Arial"/>
                <w:bCs/>
                <w:iCs/>
                <w:sz w:val="22"/>
                <w:szCs w:val="24"/>
                <w:lang w:val="mn-MN"/>
              </w:rPr>
              <w:t>улиралд</w:t>
            </w:r>
          </w:p>
        </w:tc>
        <w:tc>
          <w:tcPr>
            <w:tcW w:type="dxa" w:w="149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szCs w:val="24"/>
                <w:lang w:val="mn-MN"/>
              </w:rPr>
              <w:t>500.0</w:t>
            </w:r>
          </w:p>
        </w:tc>
        <w:tc>
          <w:tcPr>
            <w:tcW w:type="dxa" w:w="402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2"/>
                <w:szCs w:val="24"/>
                <w:lang w:val="mn-MN"/>
              </w:rPr>
              <w:t>ЧД, 12-р хорооны 154-р цэцэрлэг,</w:t>
            </w:r>
            <w:r>
              <w:rPr>
                <w:rFonts w:ascii="Arial" w:cs="Arial" w:hAnsi="Arial"/>
                <w:sz w:val="22"/>
                <w:szCs w:val="24"/>
              </w:rPr>
              <w:t xml:space="preserve">                                      </w:t>
            </w:r>
            <w:r>
              <w:rPr>
                <w:rFonts w:ascii="Arial" w:cs="Arial" w:hAnsi="Arial"/>
                <w:sz w:val="22"/>
                <w:szCs w:val="24"/>
                <w:lang w:val="mn-MN"/>
              </w:rPr>
              <w:t xml:space="preserve"> ЧД</w:t>
            </w:r>
            <w:r>
              <w:rPr>
                <w:rFonts w:ascii="Arial" w:cs="Arial" w:hAnsi="Arial"/>
                <w:sz w:val="22"/>
                <w:szCs w:val="24"/>
              </w:rPr>
              <w:t>,</w:t>
            </w:r>
            <w:r>
              <w:rPr>
                <w:rFonts w:ascii="Arial" w:cs="Arial" w:hAnsi="Arial"/>
                <w:sz w:val="22"/>
                <w:szCs w:val="24"/>
                <w:lang w:val="mn-MN"/>
              </w:rPr>
              <w:t xml:space="preserve"> 7-р хорооны 173-р цэцэрлэг,</w:t>
            </w:r>
          </w:p>
          <w:p>
            <w:pPr>
              <w:pStyle w:val="style0"/>
              <w:spacing w:after="0" w:before="0" w:line="100" w:lineRule="atLeast"/>
              <w:contextualSpacing w:val="false"/>
              <w:jc w:val="center"/>
            </w:pPr>
            <w:r>
              <w:rPr>
                <w:rFonts w:ascii="Arial" w:cs="Arial" w:hAnsi="Arial"/>
                <w:sz w:val="22"/>
                <w:szCs w:val="24"/>
                <w:lang w:val="mn-MN"/>
              </w:rPr>
              <w:t>СБД, 18-р хорооны 166-р цэцэрлэг,</w:t>
            </w:r>
          </w:p>
          <w:p>
            <w:pPr>
              <w:pStyle w:val="style0"/>
              <w:spacing w:after="0" w:before="0" w:line="100" w:lineRule="atLeast"/>
              <w:contextualSpacing w:val="false"/>
              <w:jc w:val="center"/>
            </w:pPr>
            <w:r>
              <w:rPr>
                <w:rFonts w:ascii="Arial" w:cs="Arial" w:hAnsi="Arial"/>
                <w:sz w:val="22"/>
                <w:szCs w:val="24"/>
                <w:lang w:val="mn-MN"/>
              </w:rPr>
              <w:t>СХД 9-р хорооны 38-р цэцэрлэг,</w:t>
            </w:r>
            <w:r>
              <w:rPr>
                <w:rFonts w:ascii="Arial" w:cs="Arial" w:hAnsi="Arial"/>
                <w:sz w:val="22"/>
                <w:szCs w:val="24"/>
              </w:rPr>
              <w:t xml:space="preserve">                                         </w:t>
            </w:r>
            <w:r>
              <w:rPr>
                <w:rFonts w:ascii="Arial" w:cs="Arial" w:hAnsi="Arial"/>
                <w:sz w:val="22"/>
                <w:szCs w:val="24"/>
                <w:lang w:val="mn-MN"/>
              </w:rPr>
              <w:t xml:space="preserve"> СХД, 30-р хорооны 125-р цэцэрлэг</w:t>
            </w:r>
            <w:r>
              <w:rPr>
                <w:rFonts w:ascii="Arial" w:cs="Arial" w:hAnsi="Arial"/>
                <w:sz w:val="22"/>
                <w:szCs w:val="24"/>
              </w:rPr>
              <w:t xml:space="preserve">; </w:t>
            </w:r>
            <w:r>
              <w:rPr>
                <w:rFonts w:ascii="Arial" w:cs="Arial" w:hAnsi="Arial"/>
                <w:sz w:val="22"/>
                <w:szCs w:val="24"/>
                <w:lang w:val="mn-MN"/>
              </w:rPr>
              <w:t>нийт 5 цэцэрлэгийн халаалтын зуухыг тус бүр нь 100,0 сая төгрөгөөр шинэчилнэ. Техникийн нөхцөл гарсан.</w:t>
            </w:r>
          </w:p>
        </w:tc>
      </w:tr>
      <w:tr>
        <w:trPr>
          <w:trHeight w:hRule="atLeast" w:val="566"/>
          <w:cantSplit w:val="false"/>
        </w:trPr>
        <w:tc>
          <w:tcPr>
            <w:tcW w:type="dxa" w:w="4515"/>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color w:val="000000"/>
                <w:sz w:val="22"/>
                <w:szCs w:val="24"/>
                <w:lang w:val="mn-MN"/>
              </w:rPr>
              <w:t>НИЙТ ДҮН</w:t>
            </w:r>
          </w:p>
        </w:tc>
        <w:tc>
          <w:tcPr>
            <w:tcW w:type="dxa" w:w="149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color w:val="000000"/>
                <w:sz w:val="22"/>
                <w:szCs w:val="24"/>
                <w:lang w:val="mn-MN"/>
              </w:rPr>
              <w:t>3.250.0 сая.төг</w:t>
            </w:r>
          </w:p>
        </w:tc>
        <w:tc>
          <w:tcPr>
            <w:tcW w:type="dxa" w:w="402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sz w:val="22"/>
                <w:szCs w:val="24"/>
                <w:lang w:val="mn-MN"/>
              </w:rPr>
            </w:r>
          </w:p>
        </w:tc>
      </w:tr>
    </w:tbl>
    <w:p>
      <w:pPr>
        <w:pStyle w:val="style0"/>
        <w:spacing w:after="0" w:before="0" w:line="100" w:lineRule="atLeast"/>
        <w:contextualSpacing w:val="false"/>
        <w:jc w:val="both"/>
      </w:pPr>
      <w:r>
        <w:rPr>
          <w:rFonts w:ascii="Arial" w:cs="Arial" w:hAnsi="Arial"/>
          <w:sz w:val="24"/>
          <w:szCs w:val="24"/>
          <w:lang w:val="mn-MN"/>
        </w:rPr>
        <w:t xml:space="preserve"> </w:t>
      </w:r>
    </w:p>
    <w:p>
      <w:pPr>
        <w:pStyle w:val="style0"/>
        <w:spacing w:after="0" w:before="0" w:line="100" w:lineRule="atLeast"/>
        <w:contextualSpacing w:val="false"/>
        <w:jc w:val="both"/>
      </w:pPr>
      <w:r>
        <w:rPr>
          <w:rFonts w:ascii="Arial" w:cs="Arial" w:hAnsi="Arial"/>
          <w:i/>
          <w:sz w:val="24"/>
          <w:szCs w:val="24"/>
          <w:u w:val="single"/>
          <w:lang w:val="mn-MN"/>
        </w:rPr>
      </w:r>
    </w:p>
    <w:p>
      <w:pPr>
        <w:pStyle w:val="style0"/>
        <w:spacing w:after="0" w:before="0" w:line="100" w:lineRule="atLeast"/>
        <w:contextualSpacing w:val="false"/>
        <w:jc w:val="both"/>
      </w:pPr>
      <w:r>
        <w:rPr>
          <w:rFonts w:ascii="Arial" w:cs="Arial" w:hAnsi="Arial"/>
          <w:i/>
          <w:sz w:val="24"/>
          <w:szCs w:val="24"/>
          <w:u w:val="single"/>
          <w:lang w:val="mn-MN"/>
        </w:rPr>
        <w:t xml:space="preserve">Агаарын бохирдол ихтэй аймгуудын агаарын чанарыг сайжруулах бүсэд </w:t>
      </w:r>
      <w:r>
        <w:rPr>
          <w:rFonts w:ascii="Arial" w:cs="Arial" w:hAnsi="Arial"/>
          <w:bCs/>
          <w:i/>
          <w:iCs/>
          <w:sz w:val="24"/>
          <w:szCs w:val="24"/>
          <w:u w:val="single"/>
          <w:lang w:val="mn-MN"/>
        </w:rPr>
        <w:t xml:space="preserve">БОНХАЖЯ, АЗДТГ-тай хамтран </w:t>
      </w:r>
      <w:r>
        <w:rPr>
          <w:rFonts w:ascii="Arial" w:cs="Arial" w:hAnsi="Arial"/>
          <w:i/>
          <w:sz w:val="24"/>
          <w:szCs w:val="24"/>
          <w:u w:val="single"/>
          <w:lang w:val="mn-MN"/>
        </w:rPr>
        <w:t xml:space="preserve"> авч хэрэгжүүлэх арга хэмжээ</w:t>
      </w:r>
    </w:p>
    <w:p>
      <w:pPr>
        <w:pStyle w:val="style0"/>
        <w:spacing w:after="0" w:before="0" w:line="100" w:lineRule="atLeast"/>
        <w:contextualSpacing w:val="false"/>
        <w:jc w:val="both"/>
      </w:pPr>
      <w:r>
        <w:rPr>
          <w:rFonts w:ascii="Arial" w:cs="Arial" w:hAnsi="Arial"/>
          <w:i/>
          <w:sz w:val="24"/>
          <w:szCs w:val="24"/>
          <w:u w:val="single"/>
          <w:lang w:val="mn-MN"/>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753"/>
        <w:gridCol w:w="1436"/>
        <w:gridCol w:w="1079"/>
        <w:gridCol w:w="1555"/>
        <w:gridCol w:w="5142"/>
      </w:tblGrid>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2"/>
                <w:lang w:val="mn-MN"/>
              </w:rPr>
              <w:t>№</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2"/>
                <w:lang w:val="mn-MN"/>
              </w:rPr>
              <w:t>Аймгийн нэр</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2"/>
                <w:lang w:val="mn-MN"/>
              </w:rPr>
              <w:t xml:space="preserve">Хугацаа </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bCs/>
                <w:color w:val="000000"/>
                <w:sz w:val="22"/>
                <w:lang w:val="mn-MN"/>
              </w:rPr>
              <w:t>Ш</w:t>
            </w:r>
            <w:r>
              <w:rPr>
                <w:rFonts w:ascii="Arial" w:cs="Arial" w:hAnsi="Arial"/>
                <w:b/>
                <w:bCs/>
                <w:color w:val="000000"/>
                <w:sz w:val="22"/>
              </w:rPr>
              <w:t>аардагдах төсөв /сая.төг/</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2"/>
                <w:lang w:val="mn-MN"/>
              </w:rPr>
              <w:t xml:space="preserve">Хийх ажил </w:t>
            </w:r>
          </w:p>
        </w:tc>
      </w:tr>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Хөвсгөл</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130.0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Агаар дахь тоосонцрыг хэмжих багаж хэрэгсэл, бусад тоноглолын хамт /интернет модем, путик, цахилгаан халаагуур, хөргүүр, бусад тоноглолын хамт/</w:t>
            </w:r>
          </w:p>
        </w:tc>
      </w:tr>
      <w:tr>
        <w:trPr>
          <w:cantSplit w:val="false"/>
        </w:trPr>
        <w:tc>
          <w:tcPr>
            <w:tcW w:type="dxa" w:w="75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2</w:t>
            </w:r>
          </w:p>
        </w:tc>
        <w:tc>
          <w:tcPr>
            <w:tcW w:type="dxa" w:w="1436"/>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Өвөрхангай</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100.0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Аж ахуйн нэгж, байгууллагуудыг нэгдсэн халаалтын системд холбо</w:t>
            </w:r>
            <w:r>
              <w:rPr>
                <w:rFonts w:ascii="Arial" w:cs="Arial" w:hAnsi="Arial"/>
                <w:sz w:val="22"/>
              </w:rPr>
              <w:t xml:space="preserve">х </w:t>
            </w:r>
            <w:r>
              <w:rPr>
                <w:rFonts w:ascii="Arial" w:cs="Arial" w:hAnsi="Arial"/>
                <w:sz w:val="22"/>
                <w:lang w:val="mn-MN"/>
              </w:rPr>
              <w:t>шугам хоолойн угсралтын ажил</w:t>
            </w:r>
          </w:p>
        </w:tc>
      </w:tr>
      <w:tr>
        <w:trPr>
          <w:cantSplit w:val="false"/>
        </w:trPr>
        <w:tc>
          <w:tcPr>
            <w:tcW w:type="dxa" w:w="75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r>
          </w:p>
        </w:tc>
        <w:tc>
          <w:tcPr>
            <w:tcW w:type="dxa" w:w="1436"/>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100.0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Аймгийн төвийн хэмжээнд үйл ажиллагаа явуулж буй 16 том оврын халаалтын зуухны янданд  шүүлтүүр тавих.</w:t>
            </w:r>
          </w:p>
        </w:tc>
      </w:tr>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3</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Өмнөговь</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100.0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2"/>
                <w:lang w:val="mn-MN"/>
              </w:rPr>
              <w:t>500 айл өрхөд сайжруулсан зуух хөнгөлөлттэй үнээр нийлүүлэх</w:t>
            </w:r>
          </w:p>
        </w:tc>
      </w:tr>
      <w:tr>
        <w:trPr>
          <w:cantSplit w:val="false"/>
        </w:trPr>
        <w:tc>
          <w:tcPr>
            <w:tcW w:type="dxa" w:w="75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4</w:t>
            </w:r>
          </w:p>
        </w:tc>
        <w:tc>
          <w:tcPr>
            <w:tcW w:type="dxa" w:w="1436"/>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Баянхонгор</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130.0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 xml:space="preserve">Агаар дахь тоосонцрыг хэмжих багаж хэрэгсэл, бусад тоноглолын хамт /интернет модем, путик, цахилгаан халаагуур, хөргүүр, бусад тоноглолын хамт/ </w:t>
            </w:r>
          </w:p>
        </w:tc>
      </w:tr>
      <w:tr>
        <w:trPr>
          <w:cantSplit w:val="false"/>
        </w:trPr>
        <w:tc>
          <w:tcPr>
            <w:tcW w:type="dxa" w:w="75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r>
          </w:p>
        </w:tc>
        <w:tc>
          <w:tcPr>
            <w:tcW w:type="dxa" w:w="1436"/>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100.0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 xml:space="preserve">500 айл өрхөд сайжруулсан зуух хөнгөлөлттэй үнээр нийлүүлэх </w:t>
            </w:r>
          </w:p>
        </w:tc>
      </w:tr>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5</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Дархан-Уул</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120.0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2"/>
                <w:lang w:val="mn-MN"/>
              </w:rPr>
              <w:t>500 айл өрхөд сайжруулсан зуух хөнгөлөлттэй үнээр нийлүүлэх</w:t>
            </w:r>
          </w:p>
        </w:tc>
      </w:tr>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6</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Орхон</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300.0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 xml:space="preserve">Агаарын чанарыг сайжруулах хязгаарлалтын </w:t>
            </w:r>
            <w:r>
              <w:rPr>
                <w:rFonts w:ascii="Arial" w:cs="Arial" w:hAnsi="Arial"/>
                <w:sz w:val="22"/>
              </w:rPr>
              <w:t>I</w:t>
            </w:r>
            <w:r>
              <w:rPr>
                <w:rFonts w:ascii="Arial" w:cs="Arial" w:hAnsi="Arial"/>
                <w:sz w:val="22"/>
                <w:lang w:val="mn-MN"/>
              </w:rPr>
              <w:t xml:space="preserve"> бүсэд сайжруулсан зуух аваагүй үлдсэн 1500 айл өрхийг зуухаар хангах. </w:t>
            </w:r>
          </w:p>
        </w:tc>
      </w:tr>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7</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Ховд</w:t>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Cs/>
                <w:iCs/>
                <w:sz w:val="22"/>
              </w:rPr>
              <w:t>I</w:t>
            </w:r>
            <w:r>
              <w:rPr>
                <w:rFonts w:ascii="Arial" w:cs="Arial" w:hAnsi="Arial"/>
                <w:bCs/>
                <w:iCs/>
                <w:sz w:val="22"/>
                <w:lang w:val="mn-MN"/>
              </w:rPr>
              <w:t>-</w:t>
            </w:r>
            <w:r>
              <w:rPr>
                <w:rFonts w:ascii="Arial" w:cs="Arial" w:hAnsi="Arial"/>
                <w:bCs/>
                <w:iCs/>
                <w:sz w:val="22"/>
              </w:rPr>
              <w:t xml:space="preserve">III </w:t>
            </w:r>
            <w:r>
              <w:rPr>
                <w:rFonts w:ascii="Arial" w:cs="Arial" w:hAnsi="Arial"/>
                <w:bCs/>
                <w:iCs/>
                <w:sz w:val="22"/>
                <w:lang w:val="mn-MN"/>
              </w:rPr>
              <w:t>улиралд</w:t>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2"/>
                <w:lang w:val="mn-MN"/>
              </w:rPr>
              <w:t>120.0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t xml:space="preserve">1500 айл өрхөд сайжруулсан зуух хөнгөлөлттэй үнээр нийлүүлэх. </w:t>
            </w:r>
          </w:p>
        </w:tc>
      </w:tr>
      <w:tr>
        <w:trPr>
          <w:cantSplit w:val="false"/>
        </w:trPr>
        <w:tc>
          <w:tcPr>
            <w:tcW w:type="dxa" w:w="75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2"/>
                <w:lang w:val="mn-MN"/>
              </w:rPr>
              <w:t xml:space="preserve">Нийт </w:t>
            </w:r>
          </w:p>
        </w:tc>
        <w:tc>
          <w:tcPr>
            <w:tcW w:type="dxa" w:w="14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2"/>
                <w:lang w:val="mn-MN"/>
              </w:rPr>
            </w:r>
          </w:p>
        </w:tc>
        <w:tc>
          <w:tcPr>
            <w:tcW w:type="dxa" w:w="107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bCs/>
                <w:iCs/>
                <w:sz w:val="22"/>
              </w:rPr>
            </w:r>
          </w:p>
        </w:tc>
        <w:tc>
          <w:tcPr>
            <w:tcW w:type="dxa" w:w="15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2"/>
                <w:lang w:val="mn-MN"/>
              </w:rPr>
              <w:t>1.200.0</w:t>
            </w:r>
          </w:p>
        </w:tc>
        <w:tc>
          <w:tcPr>
            <w:tcW w:type="dxa" w:w="51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2"/>
                <w:lang w:val="mn-MN"/>
              </w:rPr>
            </w:r>
          </w:p>
        </w:tc>
      </w:tr>
    </w:tbl>
    <w:p>
      <w:pPr>
        <w:pStyle w:val="style0"/>
        <w:spacing w:after="0" w:before="0" w:line="100" w:lineRule="atLeast"/>
        <w:contextualSpacing w:val="false"/>
        <w:jc w:val="both"/>
      </w:pPr>
      <w:r>
        <w:rPr>
          <w:rFonts w:ascii="Arial" w:cs="Arial" w:hAnsi="Arial"/>
          <w:b/>
          <w:i/>
          <w:sz w:val="24"/>
          <w:szCs w:val="24"/>
        </w:rPr>
      </w:r>
    </w:p>
    <w:p>
      <w:pPr>
        <w:pStyle w:val="style0"/>
        <w:spacing w:after="0" w:before="0" w:line="100" w:lineRule="atLeast"/>
        <w:contextualSpacing w:val="false"/>
      </w:pPr>
      <w:r>
        <w:rPr>
          <w:rFonts w:ascii="Arial" w:cs="Arial" w:hAnsi="Arial"/>
          <w:b/>
          <w:sz w:val="24"/>
          <w:szCs w:val="24"/>
          <w:lang w:val="mn-MN"/>
        </w:rPr>
        <w:t xml:space="preserve">Гурав: ЦАС-аас санхүүжилттэй ажлын явцын талаар  </w:t>
      </w:r>
    </w:p>
    <w:p>
      <w:pPr>
        <w:pStyle w:val="style0"/>
        <w:spacing w:after="0" w:before="0" w:line="100" w:lineRule="atLeast"/>
        <w:ind w:firstLine="540" w:left="0" w:right="0"/>
        <w:contextualSpacing w:val="false"/>
        <w:jc w:val="both"/>
      </w:pPr>
      <w:r>
        <w:rPr>
          <w:rFonts w:ascii="Arial" w:cs="Arial" w:eastAsia="Calibri" w:hAnsi="Arial"/>
          <w:sz w:val="24"/>
          <w:szCs w:val="24"/>
          <w:lang w:val="mn-MN"/>
        </w:rPr>
        <w:t>Засгийн газрын тусгай сан-Цэвэр агаарын сан 2011 онд байгуулагдсан цагаас хойш 5 жилийн хугацаанд сангийн төсөвт нийт 122,68 тэрбум төгрөг төсөвлөгдсөнөөс 93,</w:t>
      </w:r>
      <w:r>
        <w:rPr>
          <w:rFonts w:ascii="Arial" w:cs="Arial" w:eastAsia="Calibri" w:hAnsi="Arial"/>
          <w:sz w:val="24"/>
          <w:szCs w:val="24"/>
        </w:rPr>
        <w:t>01</w:t>
      </w:r>
      <w:r>
        <w:rPr>
          <w:rFonts w:ascii="Arial" w:cs="Arial" w:eastAsia="Calibri" w:hAnsi="Arial"/>
          <w:sz w:val="24"/>
          <w:szCs w:val="24"/>
          <w:lang w:val="mn-MN"/>
        </w:rPr>
        <w:t xml:space="preserve"> тэрбум төгрөгийг нь зарцуулсан байна.</w:t>
      </w:r>
    </w:p>
    <w:p>
      <w:pPr>
        <w:pStyle w:val="style0"/>
        <w:spacing w:after="0" w:before="0" w:line="100" w:lineRule="atLeast"/>
        <w:ind w:firstLine="540" w:left="0" w:right="0"/>
        <w:contextualSpacing w:val="false"/>
        <w:jc w:val="both"/>
      </w:pPr>
      <w:r>
        <w:rPr>
          <w:rFonts w:ascii="Arial" w:cs="Arial" w:hAnsi="Arial"/>
          <w:sz w:val="24"/>
          <w:szCs w:val="24"/>
          <w:lang w:val="mn-MN"/>
        </w:rPr>
      </w:r>
    </w:p>
    <w:tbl>
      <w:tblPr>
        <w:jc w:val="left"/>
        <w:tblInd w:type="dxa" w:w="144"/>
        <w:tblBorders>
          <w:top w:color="948A54" w:space="0" w:sz="2" w:val="single"/>
          <w:left w:color="948A54" w:space="0" w:sz="2" w:val="single"/>
          <w:bottom w:color="948A54" w:space="0" w:sz="2" w:val="single"/>
          <w:right w:color="948A54" w:space="0" w:sz="2" w:val="single"/>
        </w:tblBorders>
      </w:tblPr>
      <w:tblGrid>
        <w:gridCol w:w="1979"/>
        <w:gridCol w:w="3780"/>
        <w:gridCol w:w="3871"/>
      </w:tblGrid>
      <w:tr>
        <w:trPr>
          <w:trHeight w:hRule="atLeast" w:val="220"/>
          <w:cantSplit w:val="false"/>
        </w:trPr>
        <w:tc>
          <w:tcPr>
            <w:tcW w:type="dxa" w:w="1979"/>
            <w:tcBorders>
              <w:top w:color="948A54" w:space="0" w:sz="2" w:val="single"/>
              <w:left w:color="948A54" w:space="0" w:sz="2" w:val="single"/>
              <w:bottom w:color="948A54" w:space="0" w:sz="2" w:val="single"/>
              <w:right w:color="948A54" w:space="0" w:sz="2" w:val="single"/>
            </w:tcBorders>
            <w:shd w:fill="FBD4B4"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Он</w:t>
            </w:r>
          </w:p>
        </w:tc>
        <w:tc>
          <w:tcPr>
            <w:tcW w:type="dxa" w:w="3780"/>
            <w:tcBorders>
              <w:top w:color="948A54" w:space="0" w:sz="2" w:val="single"/>
              <w:left w:color="948A54" w:space="0" w:sz="2" w:val="single"/>
              <w:bottom w:color="948A54" w:space="0" w:sz="2" w:val="single"/>
              <w:right w:color="948A54" w:space="0" w:sz="2" w:val="single"/>
            </w:tcBorders>
            <w:shd w:fill="FBD4B4"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Төсөв/тэрбум.төг</w:t>
            </w:r>
          </w:p>
        </w:tc>
        <w:tc>
          <w:tcPr>
            <w:tcW w:type="dxa" w:w="3871"/>
            <w:tcBorders>
              <w:top w:color="948A54" w:space="0" w:sz="2" w:val="single"/>
              <w:left w:color="948A54" w:space="0" w:sz="2" w:val="single"/>
              <w:bottom w:color="948A54" w:space="0" w:sz="2" w:val="single"/>
              <w:right w:color="948A54" w:space="0" w:sz="2" w:val="single"/>
            </w:tcBorders>
            <w:shd w:fill="FBD4B4"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Гүйцэтгэл/тэрбум.төг</w:t>
            </w:r>
          </w:p>
        </w:tc>
      </w:tr>
      <w:tr>
        <w:trPr>
          <w:trHeight w:hRule="atLeast" w:val="103"/>
          <w:cantSplit w:val="false"/>
        </w:trPr>
        <w:tc>
          <w:tcPr>
            <w:tcW w:type="dxa" w:w="1979"/>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sz w:val="22"/>
                <w:szCs w:val="24"/>
                <w:lang w:val="mn-MN"/>
              </w:rPr>
              <w:t>2011</w:t>
            </w:r>
          </w:p>
        </w:tc>
        <w:tc>
          <w:tcPr>
            <w:tcW w:type="dxa" w:w="3780"/>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31,5</w:t>
            </w:r>
          </w:p>
        </w:tc>
        <w:tc>
          <w:tcPr>
            <w:tcW w:type="dxa" w:w="3871"/>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31,44</w:t>
            </w:r>
          </w:p>
        </w:tc>
      </w:tr>
      <w:tr>
        <w:trPr>
          <w:trHeight w:hRule="atLeast" w:val="184"/>
          <w:cantSplit w:val="false"/>
        </w:trPr>
        <w:tc>
          <w:tcPr>
            <w:tcW w:type="dxa" w:w="1979"/>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sz w:val="22"/>
                <w:szCs w:val="24"/>
                <w:lang w:val="mn-MN"/>
              </w:rPr>
              <w:t>2012</w:t>
            </w:r>
          </w:p>
        </w:tc>
        <w:tc>
          <w:tcPr>
            <w:tcW w:type="dxa" w:w="3780"/>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30,0</w:t>
            </w:r>
          </w:p>
        </w:tc>
        <w:tc>
          <w:tcPr>
            <w:tcW w:type="dxa" w:w="3871"/>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color w:val="FF0000"/>
                <w:sz w:val="22"/>
                <w:szCs w:val="24"/>
                <w:lang w:val="mn-MN"/>
              </w:rPr>
              <w:t>24,64</w:t>
            </w:r>
          </w:p>
        </w:tc>
      </w:tr>
      <w:tr>
        <w:trPr>
          <w:trHeight w:hRule="atLeast" w:val="157"/>
          <w:cantSplit w:val="false"/>
        </w:trPr>
        <w:tc>
          <w:tcPr>
            <w:tcW w:type="dxa" w:w="1979"/>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sz w:val="22"/>
                <w:szCs w:val="24"/>
                <w:lang w:val="mn-MN"/>
              </w:rPr>
              <w:t>2013</w:t>
            </w:r>
          </w:p>
        </w:tc>
        <w:tc>
          <w:tcPr>
            <w:tcW w:type="dxa" w:w="3780"/>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29</w:t>
            </w:r>
            <w:r>
              <w:rPr>
                <w:rFonts w:ascii="Arial" w:cs="Arial" w:hAnsi="Arial"/>
                <w:bCs/>
                <w:sz w:val="22"/>
                <w:szCs w:val="24"/>
              </w:rPr>
              <w:t>,</w:t>
            </w:r>
            <w:r>
              <w:rPr>
                <w:rFonts w:ascii="Arial" w:cs="Arial" w:hAnsi="Arial"/>
                <w:bCs/>
                <w:sz w:val="22"/>
                <w:szCs w:val="24"/>
                <w:lang w:val="mn-MN"/>
              </w:rPr>
              <w:t>76</w:t>
            </w:r>
          </w:p>
        </w:tc>
        <w:tc>
          <w:tcPr>
            <w:tcW w:type="dxa" w:w="3871"/>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22,92</w:t>
            </w:r>
          </w:p>
        </w:tc>
      </w:tr>
      <w:tr>
        <w:trPr>
          <w:trHeight w:hRule="atLeast" w:val="148"/>
          <w:cantSplit w:val="false"/>
        </w:trPr>
        <w:tc>
          <w:tcPr>
            <w:tcW w:type="dxa" w:w="1979"/>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sz w:val="22"/>
                <w:szCs w:val="24"/>
                <w:lang w:val="mn-MN"/>
              </w:rPr>
              <w:t>2014</w:t>
            </w:r>
          </w:p>
        </w:tc>
        <w:tc>
          <w:tcPr>
            <w:tcW w:type="dxa" w:w="3780"/>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15,26</w:t>
            </w:r>
          </w:p>
        </w:tc>
        <w:tc>
          <w:tcPr>
            <w:tcW w:type="dxa" w:w="3871"/>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9,18</w:t>
            </w:r>
          </w:p>
        </w:tc>
      </w:tr>
      <w:tr>
        <w:trPr>
          <w:trHeight w:hRule="atLeast" w:val="211"/>
          <w:cantSplit w:val="false"/>
        </w:trPr>
        <w:tc>
          <w:tcPr>
            <w:tcW w:type="dxa" w:w="1979"/>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sz w:val="22"/>
                <w:szCs w:val="24"/>
                <w:lang w:val="mn-MN"/>
              </w:rPr>
              <w:t>2015</w:t>
            </w:r>
          </w:p>
        </w:tc>
        <w:tc>
          <w:tcPr>
            <w:tcW w:type="dxa" w:w="3780"/>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16,16</w:t>
            </w:r>
          </w:p>
        </w:tc>
        <w:tc>
          <w:tcPr>
            <w:tcW w:type="dxa" w:w="3871"/>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4,83</w:t>
            </w:r>
          </w:p>
        </w:tc>
      </w:tr>
      <w:tr>
        <w:trPr>
          <w:trHeight w:hRule="atLeast" w:val="175"/>
          <w:cantSplit w:val="false"/>
        </w:trPr>
        <w:tc>
          <w:tcPr>
            <w:tcW w:type="dxa" w:w="1979"/>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sz w:val="22"/>
                <w:szCs w:val="24"/>
                <w:lang w:val="mn-MN"/>
              </w:rPr>
              <w:t>Нийт</w:t>
            </w:r>
          </w:p>
        </w:tc>
        <w:tc>
          <w:tcPr>
            <w:tcW w:type="dxa" w:w="3780"/>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122,68</w:t>
            </w:r>
          </w:p>
        </w:tc>
        <w:tc>
          <w:tcPr>
            <w:tcW w:type="dxa" w:w="3871"/>
            <w:tcBorders>
              <w:top w:color="948A54" w:space="0" w:sz="2" w:val="single"/>
              <w:left w:color="948A54" w:space="0" w:sz="2" w:val="single"/>
              <w:bottom w:color="948A54" w:space="0" w:sz="2" w:val="single"/>
              <w:right w:color="948A54" w:space="0" w:sz="2" w:val="single"/>
            </w:tcBorders>
            <w:shd w:fill="F2F2F2" w:val="clear"/>
            <w:tcMar>
              <w:top w:type="dxa" w:w="0"/>
              <w:left w:type="dxa" w:w="0"/>
              <w:bottom w:type="dxa" w:w="0"/>
              <w:right w:type="dxa" w:w="0"/>
            </w:tcMar>
            <w:vAlign w:val="center"/>
          </w:tcPr>
          <w:p>
            <w:pPr>
              <w:pStyle w:val="style0"/>
              <w:spacing w:after="0" w:before="0" w:line="100" w:lineRule="atLeast"/>
              <w:contextualSpacing w:val="false"/>
              <w:jc w:val="center"/>
            </w:pPr>
            <w:r>
              <w:rPr>
                <w:rFonts w:ascii="Arial" w:cs="Arial" w:hAnsi="Arial"/>
                <w:bCs/>
                <w:sz w:val="22"/>
                <w:szCs w:val="24"/>
                <w:lang w:val="mn-MN"/>
              </w:rPr>
              <w:t>93,01</w:t>
            </w:r>
          </w:p>
        </w:tc>
      </w:tr>
    </w:tbl>
    <w:p>
      <w:pPr>
        <w:pStyle w:val="style0"/>
        <w:spacing w:after="0" w:before="0" w:line="100" w:lineRule="atLeast"/>
        <w:ind w:firstLine="540" w:left="0" w:right="0"/>
        <w:contextualSpacing w:val="false"/>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u w:val="single"/>
          <w:lang w:val="mn-MN"/>
        </w:rPr>
        <w:t>2015 оны байдлаар:</w:t>
      </w:r>
    </w:p>
    <w:p>
      <w:pPr>
        <w:pStyle w:val="style0"/>
        <w:spacing w:after="0" w:before="0" w:line="100" w:lineRule="atLeast"/>
        <w:contextualSpacing w:val="false"/>
        <w:jc w:val="both"/>
      </w:pPr>
      <w:r>
        <w:rPr>
          <w:rFonts w:ascii="Arial" w:cs="Arial" w:hAnsi="Arial"/>
          <w:b/>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Цэвэр агаарын сангийн </w:t>
      </w:r>
      <w:r>
        <w:rPr>
          <w:rFonts w:ascii="Arial" w:cs="Arial" w:hAnsi="Arial"/>
          <w:sz w:val="24"/>
          <w:szCs w:val="24"/>
        </w:rPr>
        <w:t xml:space="preserve">2015 </w:t>
      </w:r>
      <w:r>
        <w:rPr>
          <w:rFonts w:ascii="Arial" w:cs="Arial" w:hAnsi="Arial"/>
          <w:sz w:val="24"/>
          <w:szCs w:val="24"/>
          <w:lang w:val="mn-MN"/>
        </w:rPr>
        <w:t xml:space="preserve">оны төсөв </w:t>
      </w:r>
      <w:r>
        <w:rPr>
          <w:rFonts w:ascii="Arial" w:cs="Arial" w:hAnsi="Arial"/>
          <w:sz w:val="24"/>
          <w:szCs w:val="24"/>
        </w:rPr>
        <w:t>16</w:t>
      </w:r>
      <w:r>
        <w:rPr>
          <w:rFonts w:ascii="Arial" w:cs="Arial" w:hAnsi="Arial"/>
          <w:sz w:val="24"/>
          <w:szCs w:val="24"/>
          <w:lang w:val="mn-MN"/>
        </w:rPr>
        <w:t>.2 тэрбум төгрөгөөр батлагдсаны дагуу төсвийн төлөвлөгөөг БОНХАЖ-ын сайдын 2015 оны А/72 дугаар тушаалаар батлуулан төсөл, арга хэмжээг санхүүжүүлэн ажилласан бөгөөд үүнээс 4.5 тэрбум төгрөгийг зарцуулаад байна.</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Учир нь төсвийн төлөвлөгөөний дагуу хийгдсэн төсөл, арга хэмжээний санхүүжилт болох 7.7 тэрбум төгрөгийн санхүүжилтийн эрхийн хүсэлтийг 2015 оны 10 дугаар сарын 01-ний өдрийн байдлаар Сангийн яамны Төрийн сангийн газарт тавиад байсан. Гэвч оны сүүлээр хийгдсэн төсвийн тодотголоор тус сангийн төсвийг 5.2 тэрбум төгрөг байхаар УИХ-аас баталж, оны эхэнд батлагдсан төсвөөс 10 гаруй тэрбум төгрөгөөр буурсан.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Үүнтэй холбоотойгоор 2015 оны тодотгосон төсвөөр хасагдсан гэрээний гүйцэтгэгч 11 байгууллагын үлдэгдэл санхүүжилт болох 2.108.554.303.0 төгрөгийн өр төлбөрийг санхүүжүүлэх боломжгүй болоод байна.  </w:t>
      </w:r>
    </w:p>
    <w:p>
      <w:pPr>
        <w:pStyle w:val="style0"/>
        <w:spacing w:after="0" w:before="0" w:line="100" w:lineRule="atLeast"/>
        <w:ind w:firstLine="720" w:left="0" w:right="0"/>
        <w:contextualSpacing w:val="false"/>
        <w:jc w:val="both"/>
      </w:pPr>
      <w:r>
        <w:rPr>
          <w:rFonts w:ascii="Arial" w:cs="Arial" w:hAnsi="Arial"/>
          <w:sz w:val="24"/>
          <w:szCs w:val="24"/>
        </w:rPr>
      </w:r>
    </w:p>
    <w:tbl>
      <w:tblPr>
        <w:jc w:val="center"/>
        <w:tblBorders>
          <w:top w:color="00000A" w:space="0" w:sz="4" w:val="single"/>
          <w:left w:color="00000A" w:space="0" w:sz="4" w:val="single"/>
          <w:bottom w:color="00000A" w:space="0" w:sz="4" w:val="single"/>
          <w:right w:color="00000A" w:space="0" w:sz="4" w:val="single"/>
        </w:tblBorders>
      </w:tblPr>
      <w:tblGrid>
        <w:gridCol w:w="523"/>
        <w:gridCol w:w="1574"/>
        <w:gridCol w:w="1773"/>
        <w:gridCol w:w="1774"/>
        <w:gridCol w:w="1773"/>
        <w:gridCol w:w="2699"/>
      </w:tblGrid>
      <w:tr>
        <w:trPr>
          <w:trHeight w:hRule="atLeast" w:val="377"/>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0"/>
                <w:szCs w:val="24"/>
                <w:lang w:val="mn-MN"/>
              </w:rPr>
            </w:r>
          </w:p>
          <w:p>
            <w:pPr>
              <w:pStyle w:val="style0"/>
              <w:spacing w:after="0" w:before="0" w:line="100" w:lineRule="atLeast"/>
              <w:contextualSpacing w:val="false"/>
              <w:jc w:val="center"/>
            </w:pPr>
            <w:r>
              <w:rPr>
                <w:rFonts w:ascii="Arial" w:cs="Arial" w:hAnsi="Arial"/>
                <w:sz w:val="20"/>
                <w:szCs w:val="24"/>
                <w:lang w:val="mn-MN"/>
              </w:rPr>
              <w:t>Д/д</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0"/>
                <w:szCs w:val="24"/>
                <w:lang w:val="mn-MN"/>
              </w:rPr>
              <w:t>Өглөгтэй байгууллагын нэр</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0"/>
                <w:szCs w:val="24"/>
                <w:lang w:val="mn-MN"/>
              </w:rPr>
            </w:r>
          </w:p>
          <w:p>
            <w:pPr>
              <w:pStyle w:val="style0"/>
              <w:spacing w:after="0" w:before="0" w:line="100" w:lineRule="atLeast"/>
              <w:contextualSpacing w:val="false"/>
              <w:jc w:val="center"/>
            </w:pPr>
            <w:r>
              <w:rPr>
                <w:rFonts w:ascii="Arial" w:cs="Arial" w:hAnsi="Arial"/>
                <w:sz w:val="20"/>
                <w:szCs w:val="24"/>
                <w:lang w:val="mn-MN"/>
              </w:rPr>
              <w:t xml:space="preserve">Гэрээний дүн </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0"/>
                <w:szCs w:val="24"/>
                <w:lang w:val="mn-MN"/>
              </w:rPr>
            </w:r>
          </w:p>
          <w:p>
            <w:pPr>
              <w:pStyle w:val="style0"/>
              <w:spacing w:after="0" w:before="0" w:line="100" w:lineRule="atLeast"/>
              <w:contextualSpacing w:val="false"/>
              <w:jc w:val="center"/>
            </w:pPr>
            <w:r>
              <w:rPr>
                <w:rFonts w:ascii="Arial" w:cs="Arial" w:hAnsi="Arial"/>
                <w:sz w:val="20"/>
                <w:szCs w:val="24"/>
                <w:lang w:val="mn-MN"/>
              </w:rPr>
              <w:t xml:space="preserve">Олгосон санжүүжилт </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0"/>
                <w:szCs w:val="24"/>
                <w:lang w:val="mn-MN"/>
              </w:rPr>
            </w:r>
          </w:p>
          <w:p>
            <w:pPr>
              <w:pStyle w:val="style0"/>
              <w:spacing w:after="0" w:before="0" w:line="100" w:lineRule="atLeast"/>
              <w:contextualSpacing w:val="false"/>
              <w:jc w:val="center"/>
            </w:pPr>
            <w:r>
              <w:rPr>
                <w:rFonts w:ascii="Arial" w:cs="Arial" w:hAnsi="Arial"/>
                <w:sz w:val="20"/>
                <w:szCs w:val="24"/>
                <w:lang w:val="mn-MN"/>
              </w:rPr>
              <w:t>Үлдэгдэл</w:t>
            </w:r>
          </w:p>
        </w:tc>
        <w:tc>
          <w:tcPr>
            <w:tcW w:type="dxa" w:w="2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0"/>
                <w:szCs w:val="24"/>
                <w:lang w:val="mn-MN"/>
              </w:rPr>
            </w:r>
          </w:p>
          <w:p>
            <w:pPr>
              <w:pStyle w:val="style0"/>
              <w:spacing w:after="0" w:before="0" w:line="100" w:lineRule="atLeast"/>
              <w:contextualSpacing w:val="false"/>
              <w:jc w:val="center"/>
            </w:pPr>
            <w:r>
              <w:rPr>
                <w:rFonts w:ascii="Arial" w:cs="Arial" w:hAnsi="Arial"/>
                <w:sz w:val="20"/>
                <w:szCs w:val="24"/>
                <w:lang w:val="mn-MN"/>
              </w:rPr>
              <w:t>Өглөгийн утга</w:t>
            </w:r>
          </w:p>
        </w:tc>
      </w:tr>
      <w:tr>
        <w:trPr>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1</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Гранд повер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1,965,000,000.00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1,572,000,000.00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393,000,000.00</w:t>
            </w:r>
          </w:p>
        </w:tc>
        <w:tc>
          <w:tcPr>
            <w:tcW w:type="dxa" w:w="2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lang w:val="mn-MN"/>
              </w:rPr>
              <w:t>Нүүрсний хийн үйлдвэрээс СХД-ийн 22-р хорооны нутаг дэвсгэрт орших аж ахуйн нэгжийг хийн шугам хоолойгоор дамжуулан нүүрсний хийгээр хангах</w:t>
            </w:r>
          </w:p>
        </w:tc>
      </w:tr>
      <w:tr>
        <w:trPr>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2</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Селена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327,145,877.00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54,219,200.00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272,926,677.00</w:t>
            </w:r>
          </w:p>
        </w:tc>
        <w:tc>
          <w:tcPr>
            <w:tcW w:type="dxa" w:w="2699"/>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lang w:val="mn-MN"/>
              </w:rPr>
              <w:t>УБ хотын захын хороололын сургууль цэцэрлэг, халаалтын зуухнуудыг шинэчлэх, зарим хэрэглэгчдийг төвлөрсөн дулаан хангамжинд холбох ажлын хүрээнд хийгдсэн ажлын өглөг</w:t>
            </w:r>
          </w:p>
        </w:tc>
      </w:tr>
      <w:tr>
        <w:trPr>
          <w:trHeight w:hRule="atLeast" w:val="224"/>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3</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Зууны сод хийц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9,950,257.00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8,008,864.00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1,941,393.00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179"/>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4</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Чандмань Өргөө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154,711,496.00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20,000,000.00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134,711,496.00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251"/>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5</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Санкомфорт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247,661,988.00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rPr>
              <w:t>1</w:t>
            </w:r>
            <w:r>
              <w:rPr>
                <w:rFonts w:ascii="Arial" w:cs="Arial" w:hAnsi="Arial"/>
                <w:sz w:val="20"/>
                <w:szCs w:val="24"/>
                <w:lang w:val="mn-MN"/>
              </w:rPr>
              <w:t>2</w:t>
            </w:r>
            <w:r>
              <w:rPr>
                <w:rFonts w:ascii="Arial" w:cs="Arial" w:hAnsi="Arial"/>
                <w:sz w:val="20"/>
                <w:szCs w:val="24"/>
              </w:rPr>
              <w:t>2.810.712.00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rPr>
              <w:t>1</w:t>
            </w:r>
            <w:r>
              <w:rPr>
                <w:rFonts w:ascii="Arial" w:cs="Arial" w:hAnsi="Arial"/>
                <w:sz w:val="20"/>
                <w:szCs w:val="24"/>
                <w:lang w:val="mn-MN"/>
              </w:rPr>
              <w:t>2</w:t>
            </w:r>
            <w:r>
              <w:rPr>
                <w:rFonts w:ascii="Arial" w:cs="Arial" w:hAnsi="Arial"/>
                <w:sz w:val="20"/>
                <w:szCs w:val="24"/>
              </w:rPr>
              <w:t>4.8</w:t>
            </w:r>
            <w:r>
              <w:rPr>
                <w:rFonts w:ascii="Arial" w:cs="Arial" w:hAnsi="Arial"/>
                <w:sz w:val="20"/>
                <w:szCs w:val="24"/>
                <w:lang w:val="mn-MN"/>
              </w:rPr>
              <w:t>0</w:t>
            </w:r>
            <w:r>
              <w:rPr>
                <w:rFonts w:ascii="Arial" w:cs="Arial" w:hAnsi="Arial"/>
                <w:sz w:val="20"/>
                <w:szCs w:val="24"/>
              </w:rPr>
              <w:t>1.276.00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197"/>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6</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Арвин сүлжээ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60,190,550.00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20,000,000.00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40,190,550.00</w:t>
            </w:r>
          </w:p>
        </w:tc>
        <w:tc>
          <w:tcPr>
            <w:tcW w:type="dxa" w:w="2699"/>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lang w:val="mn-MN"/>
              </w:rPr>
              <w:t>Цахилгааны дэд станцын ачаалал хөнгөвчлөх ажлын өглөг</w:t>
            </w:r>
          </w:p>
        </w:tc>
      </w:tr>
      <w:tr>
        <w:trPr>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7</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Хүрд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443,800,000.00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343,800,000.00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100,000,000.00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152"/>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8</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Биндэгноров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259,504,402.00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30,796,413.00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228,707,989.00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233"/>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9</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Чинбат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379,476,960.00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110,000,000.00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269,476,960.00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10</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Гэгээн цайдам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482,817,827.00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110,000,000.00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327,817,827.00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161"/>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11</w:t>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Топологи ХХК</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203,980,135.00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34,000,000.00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0"/>
                <w:szCs w:val="24"/>
                <w:lang w:val="mn-MN"/>
              </w:rPr>
              <w:t>169,980,135.00</w:t>
            </w:r>
          </w:p>
        </w:tc>
        <w:tc>
          <w:tcPr>
            <w:tcW w:type="dxa" w:w="269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r>
        <w:trPr>
          <w:trHeight w:hRule="atLeast" w:val="188"/>
          <w:cantSplit w:val="false"/>
        </w:trPr>
        <w:tc>
          <w:tcPr>
            <w:tcW w:type="dxa" w:w="52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rPr>
            </w:r>
          </w:p>
        </w:tc>
        <w:tc>
          <w:tcPr>
            <w:tcW w:type="dxa" w:w="15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0"/>
                <w:szCs w:val="24"/>
                <w:lang w:val="mn-MN"/>
              </w:rPr>
              <w:t>ДҮН</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sz w:val="20"/>
                <w:szCs w:val="24"/>
                <w:lang w:val="mn-MN"/>
              </w:rPr>
              <w:t>4,534,189,492.00</w:t>
            </w:r>
          </w:p>
        </w:tc>
        <w:tc>
          <w:tcPr>
            <w:tcW w:type="dxa" w:w="17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sz w:val="20"/>
                <w:szCs w:val="24"/>
                <w:lang w:val="mn-MN"/>
              </w:rPr>
              <w:t>2,425,635,189.00</w:t>
            </w:r>
          </w:p>
        </w:tc>
        <w:tc>
          <w:tcPr>
            <w:tcW w:type="dxa" w:w="177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sz w:val="20"/>
                <w:szCs w:val="24"/>
                <w:lang w:val="mn-MN"/>
              </w:rPr>
              <w:t>2,108,554,303.00</w:t>
            </w:r>
          </w:p>
        </w:tc>
        <w:tc>
          <w:tcPr>
            <w:tcW w:type="dxa" w:w="2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0"/>
                <w:szCs w:val="24"/>
              </w:rPr>
            </w:r>
          </w:p>
        </w:tc>
      </w:tr>
    </w:tbl>
    <w:p>
      <w:pPr>
        <w:pStyle w:val="style0"/>
        <w:spacing w:after="0" w:before="0" w:line="100" w:lineRule="atLeast"/>
        <w:contextualSpacing w:val="false"/>
        <w:jc w:val="both"/>
      </w:pPr>
      <w:r>
        <w:rPr>
          <w:rFonts w:ascii="Arial" w:cs="Arial" w:hAnsi="Arial"/>
          <w:i/>
          <w:sz w:val="24"/>
          <w:szCs w:val="24"/>
          <w:u w:val="single"/>
          <w:lang w:val="mn-MN"/>
        </w:rPr>
      </w:r>
    </w:p>
    <w:p>
      <w:pPr>
        <w:pStyle w:val="style0"/>
        <w:spacing w:after="0" w:before="0" w:line="100" w:lineRule="atLeast"/>
        <w:contextualSpacing w:val="false"/>
        <w:jc w:val="both"/>
      </w:pPr>
      <w:r>
        <w:rPr>
          <w:rFonts w:ascii="Arial" w:cs="Arial" w:hAnsi="Arial"/>
          <w:i/>
          <w:sz w:val="24"/>
          <w:szCs w:val="24"/>
          <w:u w:val="single"/>
        </w:rPr>
      </w:r>
    </w:p>
    <w:p>
      <w:pPr>
        <w:pStyle w:val="style0"/>
        <w:spacing w:after="0" w:before="0" w:line="100" w:lineRule="atLeast"/>
        <w:contextualSpacing w:val="false"/>
      </w:pPr>
      <w:r>
        <w:rPr>
          <w:rFonts w:ascii="Arial" w:cs="Arial" w:eastAsia="Calibri" w:hAnsi="Arial"/>
          <w:b/>
          <w:bCs/>
          <w:sz w:val="24"/>
          <w:szCs w:val="24"/>
          <w:lang w:val="mn-MN"/>
        </w:rPr>
        <w:t>Дөрөв. Агаарын бохирдлыг бууруулах үндэсний хорооны үйл ажиллагаа</w:t>
      </w:r>
    </w:p>
    <w:p>
      <w:pPr>
        <w:pStyle w:val="style0"/>
        <w:spacing w:after="0" w:before="0" w:line="100" w:lineRule="atLeast"/>
        <w:ind w:hanging="0" w:left="720" w:right="0"/>
        <w:contextualSpacing w:val="false"/>
      </w:pPr>
      <w:r>
        <w:rPr>
          <w:rFonts w:ascii="Arial" w:cs="Arial" w:eastAsia="Calibri" w:hAnsi="Arial"/>
          <w:sz w:val="24"/>
          <w:szCs w:val="24"/>
          <w:lang w:val="mn-MN"/>
        </w:rPr>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Ерөнхий сайдын 2014 оны 151 дүгээр захирамжаар Үндэсний хорооны бүрэлдэхүүн, ажиллах журамд нэмэлт өөрчлөлт оруулан  баталсан бөгөөд уг захирамжаар Үндэсний хорооны ажлын албыг татан буулгаж хэрэгжүүлж байсан чиг үүргийг Байгаль орчин, ногоон хөгжил, аялал жуулчлалын сайдын эрхлэх асуудалд хамааруулсны дагуу </w:t>
      </w:r>
      <w:r>
        <w:rPr>
          <w:rFonts w:ascii="Arial" w:cs="Arial" w:eastAsia="Calibri" w:hAnsi="Arial"/>
          <w:sz w:val="24"/>
          <w:szCs w:val="24"/>
          <w:lang w:val="mn-MN"/>
        </w:rPr>
        <w:t xml:space="preserve">өмнөх Засгийн газрын үед шийдвэрлэн хэрэгжүүлж буй төслүүд болон Цэвэр агаар сангийн төлөвлөгөөнд тусгагдсан ажлуудын гүйцэтгэлд хяналт тавин ажиллаж байна. </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Үндэсний хорооны 2015 оны 10 дугаар сарын 27-ны өдрийн хурлаас Үндэсний хорооны бүрэлдэхүүнд агаарын бохирдолтой Өвөрхангай, Баянхонгор, Орхон, Дархан-Уул, Өмнөговь, Ховд, Хөвсгөл аймгуудын Засаг дарга нарыг нэмж оруулахаар шийдвэрлэсэн ба эдгээр аймгуудын Засаг дарга нарт орон нутгийн төсвийн хүрээнд агаарын бохирдлыг бууруулахтай холбоотой зардал мөнгийг тодорхой хэмжээгээр тусган,  </w:t>
      </w:r>
      <w:r>
        <w:rPr>
          <w:rFonts w:ascii="Arial" w:cs="Arial" w:eastAsia="Calibri" w:hAnsi="Arial"/>
          <w:sz w:val="24"/>
          <w:szCs w:val="24"/>
        </w:rPr>
        <w:t>агаарын тухай хууль тогтоомж, тэдгээрийг хэрэгжүүлэхтэй холбогдуулан гаргасан шийдвэрийн биелэлтийг нутаг дэвсгэртээ зохион байгуул</w:t>
      </w:r>
      <w:r>
        <w:rPr>
          <w:rFonts w:ascii="Arial" w:cs="Arial" w:eastAsia="Calibri" w:hAnsi="Arial"/>
          <w:sz w:val="24"/>
          <w:szCs w:val="24"/>
          <w:lang w:val="mn-MN"/>
        </w:rPr>
        <w:t xml:space="preserve">ж, хийсэн ажлын явц, үр дүнгийн талаар Агаарын бохирдлыг бууруулах үндэсний хороонд сар, улирлаар танилцуулж, тайлагнаж байхыг үүрэг болгон ажиллаж байна. </w:t>
      </w:r>
    </w:p>
    <w:p>
      <w:pPr>
        <w:pStyle w:val="style0"/>
        <w:spacing w:after="0" w:before="0" w:line="100" w:lineRule="atLeast"/>
        <w:contextualSpacing w:val="false"/>
        <w:jc w:val="both"/>
      </w:pPr>
      <w:r>
        <w:rPr>
          <w:rFonts w:ascii="Arial" w:cs="Arial" w:eastAsia="Calibri" w:hAnsi="Arial"/>
          <w:sz w:val="24"/>
          <w:szCs w:val="24"/>
          <w:lang w:val="mn-MN"/>
        </w:rPr>
      </w:r>
    </w:p>
    <w:p>
      <w:pPr>
        <w:pStyle w:val="style0"/>
        <w:spacing w:after="0" w:before="0" w:line="100" w:lineRule="atLeast"/>
        <w:contextualSpacing w:val="false"/>
        <w:jc w:val="both"/>
      </w:pPr>
      <w:r>
        <w:rPr>
          <w:rFonts w:ascii="Arial" w:cs="Arial" w:eastAsia="Calibri" w:hAnsi="Arial"/>
          <w:b/>
          <w:sz w:val="24"/>
          <w:szCs w:val="24"/>
          <w:lang w:val="mn-MN"/>
        </w:rPr>
        <w:t xml:space="preserve">Агаарын бохирдлыг бууруулах үндэсний хорооноос 2015-2016 онд доорх ажлуудыг хийнэ. Үүнд:   </w:t>
      </w:r>
    </w:p>
    <w:p>
      <w:pPr>
        <w:pStyle w:val="style0"/>
        <w:spacing w:after="0" w:before="0" w:line="100" w:lineRule="atLeast"/>
        <w:contextualSpacing w:val="false"/>
        <w:jc w:val="both"/>
      </w:pPr>
      <w:r>
        <w:rPr>
          <w:rFonts w:ascii="Arial" w:cs="Arial" w:eastAsia="Calibri" w:hAnsi="Arial"/>
          <w:i/>
          <w:iCs/>
          <w:sz w:val="24"/>
          <w:szCs w:val="24"/>
          <w:lang w:val="mn-MN"/>
        </w:rPr>
      </w:r>
    </w:p>
    <w:p>
      <w:pPr>
        <w:pStyle w:val="style0"/>
        <w:spacing w:after="0" w:before="0" w:line="100" w:lineRule="atLeast"/>
        <w:contextualSpacing w:val="false"/>
        <w:jc w:val="both"/>
      </w:pPr>
      <w:r>
        <w:rPr>
          <w:rFonts w:ascii="Arial" w:cs="Arial" w:eastAsia="Calibri" w:hAnsi="Arial"/>
          <w:i/>
          <w:iCs/>
          <w:sz w:val="24"/>
          <w:szCs w:val="24"/>
          <w:lang w:val="mn-MN"/>
        </w:rPr>
        <w:t>Хууль эрх зүйн орчинг боловсронгуй болгох чиглэлээр</w:t>
      </w:r>
      <w:r>
        <w:rPr>
          <w:rFonts w:ascii="Arial" w:cs="Arial" w:eastAsia="Calibri" w:hAnsi="Arial"/>
          <w:sz w:val="24"/>
          <w:szCs w:val="24"/>
          <w:lang w:val="mn-MN"/>
        </w:rPr>
        <w:t>:</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1.</w:t>
        <w:tab/>
        <w:t xml:space="preserve">Агаарын бохирдол ихтэй аймгийн төвүүдэд агаарын чанарыг сайжруулах бүс тогтоох, бүсэд мөрдөх журам батлах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2.</w:t>
        <w:tab/>
        <w:t xml:space="preserve">Урамшуулал олгох журамд нэмэлт өөрчлөлт оруулах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3.</w:t>
        <w:tab/>
        <w:t>Байгалийн хийн хангамжийн ашиглалтын норм, стандарт, дүрэм боловсруулах</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4.</w:t>
        <w:tab/>
        <w:t>Агаарын чанарын стандартыг шинэчлэн батлуулах</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5.</w:t>
        <w:tab/>
        <w:t>УБ Цэвэр агаар төсөл "Цэвэр зуух" -ны үндэсний стратегийг эцэслэн боловсруулах</w:t>
      </w:r>
    </w:p>
    <w:p>
      <w:pPr>
        <w:pStyle w:val="style0"/>
        <w:spacing w:after="0" w:before="0" w:line="100" w:lineRule="atLeast"/>
        <w:contextualSpacing w:val="false"/>
        <w:jc w:val="both"/>
      </w:pPr>
      <w:r>
        <w:rPr>
          <w:rFonts w:ascii="Arial" w:cs="Arial" w:eastAsia="Calibri" w:hAnsi="Arial"/>
          <w:i/>
          <w:iCs/>
          <w:sz w:val="24"/>
          <w:szCs w:val="24"/>
          <w:lang w:val="mn-MN"/>
        </w:rPr>
      </w:r>
    </w:p>
    <w:p>
      <w:pPr>
        <w:pStyle w:val="style0"/>
        <w:spacing w:after="0" w:before="0" w:line="100" w:lineRule="atLeast"/>
        <w:contextualSpacing w:val="false"/>
        <w:jc w:val="both"/>
      </w:pPr>
      <w:r>
        <w:rPr>
          <w:rFonts w:ascii="Arial" w:cs="Arial" w:eastAsia="Calibri" w:hAnsi="Arial"/>
          <w:i/>
          <w:iCs/>
          <w:sz w:val="24"/>
          <w:szCs w:val="24"/>
          <w:lang w:val="mn-MN"/>
        </w:rPr>
        <w:t xml:space="preserve">Судалгаа, шинжилгээний чиглэлээр: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1.</w:t>
        <w:tab/>
        <w:t xml:space="preserve">Улаанбаатар хотын гэр хорооллын айл өрхийг хийн хэрэглээнд үе шаттайгаар шилжүүлэх боломжийг судлах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2.</w:t>
        <w:tab/>
        <w:t>Агаарын бохирдлыг бууруулах чиглэлээр гадаадын хөрөнгө оруулагчид болон олон улсын байгууллагаас дэмжлэг авч хамтран ажиллах боломжийг судлах</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3.</w:t>
        <w:tab/>
        <w:t xml:space="preserve">Хөтөлийн цемент, шохойн үйлдвэрийн үйл ажиллагааны явцад агаарт хаягдаж буй хүлэмжийн хий болон бусад хорт хаягдлын хэмжээг бууруулах чиглэлээр хийгдэх судалгааны ажил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4.</w:t>
        <w:tab/>
        <w:t xml:space="preserve">Байгалийн хийн инженерийн сүлжээг байгуулах техник эдийн засгийн үндэслэлийг боловсруулах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5.</w:t>
        <w:tab/>
        <w:t xml:space="preserve">Төвлөрсөн дулаан хангамжид холбох боломжтой байршлуудын судалгааг хийх </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6.</w:t>
        <w:tab/>
        <w:t>Агаар бохирдуулагч эх үүсвэрийн тооллого явуулах</w:t>
      </w:r>
    </w:p>
    <w:p>
      <w:pPr>
        <w:pStyle w:val="style0"/>
        <w:spacing w:after="0" w:before="0" w:line="100" w:lineRule="atLeast"/>
        <w:contextualSpacing w:val="false"/>
        <w:jc w:val="both"/>
      </w:pPr>
      <w:r>
        <w:rPr>
          <w:rFonts w:ascii="Arial" w:cs="Arial" w:eastAsia="Calibri" w:hAnsi="Arial"/>
          <w:i/>
          <w:iCs/>
          <w:sz w:val="24"/>
          <w:szCs w:val="24"/>
          <w:lang w:val="mn-MN"/>
        </w:rPr>
      </w:r>
    </w:p>
    <w:p>
      <w:pPr>
        <w:pStyle w:val="style0"/>
        <w:spacing w:after="0" w:before="0" w:line="100" w:lineRule="atLeast"/>
        <w:contextualSpacing w:val="false"/>
        <w:jc w:val="both"/>
      </w:pPr>
      <w:r>
        <w:rPr>
          <w:rFonts w:ascii="Arial" w:cs="Arial" w:eastAsia="Calibri" w:hAnsi="Arial"/>
          <w:i/>
          <w:iCs/>
          <w:sz w:val="24"/>
          <w:szCs w:val="24"/>
          <w:lang w:val="mn-MN"/>
        </w:rPr>
        <w:t>Салбар хороодод хийгдэх ажлууд</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1.</w:t>
        <w:tab/>
        <w:t>Дүүрэг тус бүрт уурын болон усан халаалтын  зуухны галч нарт сургалт зохион байгуулах</w:t>
      </w:r>
    </w:p>
    <w:p>
      <w:pPr>
        <w:pStyle w:val="style0"/>
        <w:spacing w:after="0" w:before="0" w:line="100" w:lineRule="atLeast"/>
        <w:ind w:hanging="360" w:left="1440" w:right="0"/>
        <w:contextualSpacing w:val="false"/>
        <w:jc w:val="both"/>
      </w:pPr>
      <w:r>
        <w:rPr>
          <w:rFonts w:ascii="Arial" w:cs="Arial" w:eastAsia="Calibri" w:hAnsi="Arial"/>
          <w:sz w:val="24"/>
          <w:szCs w:val="24"/>
          <w:lang w:val="mn-MN"/>
        </w:rPr>
        <w:t>2.</w:t>
        <w:tab/>
        <w:t>Зуух хэрэглэж буй айл өрхүүдийн түлшний хэрэглээнд судалгаа  хийх</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b/>
          <w:sz w:val="24"/>
          <w:szCs w:val="24"/>
          <w:lang w:val="mn-MN"/>
        </w:rPr>
        <w:t>Тав. Цаашид авч хэрэгжүүлэх арга хэмжээ</w:t>
      </w:r>
    </w:p>
    <w:p>
      <w:pPr>
        <w:pStyle w:val="style51"/>
        <w:numPr>
          <w:ilvl w:val="1"/>
          <w:numId w:val="2"/>
        </w:numPr>
        <w:spacing w:after="0" w:before="0" w:line="100" w:lineRule="atLeast"/>
        <w:ind w:hanging="720" w:left="0" w:right="0"/>
        <w:contextualSpacing/>
        <w:jc w:val="both"/>
      </w:pPr>
      <w:r>
        <w:rPr>
          <w:rFonts w:ascii="Arial" w:cs="Arial" w:hAnsi="Arial"/>
          <w:sz w:val="24"/>
          <w:szCs w:val="24"/>
          <w:lang w:val="mn-MN"/>
        </w:rPr>
        <w:t>Агаарын чанарыг сайжруулах бүсийг шинэчлэн тогтоож, хамрагдах дүүрэг хороодын тоог нэмж, сайжруулсан түлшээр бүрэн хангаж, түүхий нүүрсийг хориглох,</w:t>
      </w:r>
    </w:p>
    <w:p>
      <w:pPr>
        <w:pStyle w:val="style51"/>
        <w:numPr>
          <w:ilvl w:val="1"/>
          <w:numId w:val="2"/>
        </w:numPr>
        <w:spacing w:after="0" w:before="0" w:line="100" w:lineRule="atLeast"/>
        <w:ind w:hanging="720" w:left="0" w:right="0"/>
        <w:contextualSpacing/>
        <w:jc w:val="both"/>
      </w:pPr>
      <w:r>
        <w:rPr>
          <w:rFonts w:ascii="Arial" w:cs="Arial" w:hAnsi="Arial"/>
          <w:sz w:val="24"/>
          <w:szCs w:val="24"/>
          <w:lang w:val="mn-MN"/>
        </w:rPr>
        <w:t xml:space="preserve">БНХАУ-ын буцалтгүй тусламжийн хүрээнд Хий боловсруулах үйлдвэрийг байгуулж, нийслэлийн гэр хорооллын айл өрхүүдийг хийн хэрэглээнд бүрэн шилжүүлэх,  </w:t>
      </w:r>
    </w:p>
    <w:p>
      <w:pPr>
        <w:pStyle w:val="style51"/>
        <w:numPr>
          <w:ilvl w:val="1"/>
          <w:numId w:val="2"/>
        </w:numPr>
        <w:spacing w:after="0" w:before="0" w:line="100" w:lineRule="atLeast"/>
        <w:ind w:hanging="720" w:left="0" w:right="0"/>
        <w:contextualSpacing/>
        <w:jc w:val="both"/>
      </w:pPr>
      <w:r>
        <w:rPr>
          <w:rFonts w:ascii="Arial" w:cs="Arial" w:hAnsi="Arial"/>
          <w:sz w:val="24"/>
          <w:szCs w:val="24"/>
          <w:lang w:val="mn-MN"/>
        </w:rPr>
        <w:t xml:space="preserve">Авто тээврийн хэрэгслээс үүдэлтэй агаарын бохирдлыг бууруулах хүрээнд олон улсын стандартад нийцсэн сайн чанарын шатахууны хэрэглээг дэмжих, 7-оос дээш насжилттай автомашины импортыг үе шаттай хязгаарлах арга хэмжээ авах, </w:t>
      </w:r>
    </w:p>
    <w:p>
      <w:pPr>
        <w:pStyle w:val="style51"/>
        <w:numPr>
          <w:ilvl w:val="1"/>
          <w:numId w:val="2"/>
        </w:numPr>
        <w:spacing w:after="0" w:before="0" w:line="100" w:lineRule="atLeast"/>
        <w:ind w:hanging="720" w:left="0" w:right="0"/>
        <w:contextualSpacing/>
        <w:jc w:val="both"/>
      </w:pPr>
      <w:r>
        <w:rPr>
          <w:rFonts w:ascii="Arial" w:cs="Arial" w:hAnsi="Arial"/>
          <w:sz w:val="24"/>
          <w:szCs w:val="24"/>
          <w:lang w:val="mn-MN"/>
        </w:rPr>
        <w:t>Гэр хорооллын дахин төлөвлөлт</w:t>
      </w:r>
      <w:r>
        <w:rPr>
          <w:rFonts w:ascii="Arial" w:cs="Arial" w:hAnsi="Arial"/>
          <w:sz w:val="24"/>
          <w:szCs w:val="24"/>
        </w:rPr>
        <w:t xml:space="preserve">, </w:t>
      </w:r>
      <w:r>
        <w:rPr>
          <w:rFonts w:ascii="Arial" w:cs="Arial" w:hAnsi="Arial"/>
          <w:sz w:val="24"/>
          <w:szCs w:val="24"/>
          <w:lang w:val="mn-MN"/>
        </w:rPr>
        <w:t>орон сууцжуулах ажлыг эрчимжүүлэн</w:t>
      </w:r>
      <w:r>
        <w:rPr>
          <w:rFonts w:ascii="Arial" w:cs="Arial" w:hAnsi="Arial"/>
          <w:sz w:val="24"/>
          <w:szCs w:val="24"/>
        </w:rPr>
        <w:t>,</w:t>
      </w:r>
      <w:r>
        <w:rPr>
          <w:rFonts w:ascii="Arial" w:cs="Arial" w:hAnsi="Arial"/>
          <w:sz w:val="24"/>
          <w:szCs w:val="24"/>
          <w:lang w:val="mn-MN"/>
        </w:rPr>
        <w:t xml:space="preserve"> нийслэл хот, төв суурин газрын ногоон байгууламжийг нэмэгдүүлэх, хур тунадасны усыг хуримтлуулан усан сан байгуулах замаар тоосжилтыг бууруулах</w:t>
      </w:r>
      <w:r>
        <w:rPr>
          <w:rFonts w:ascii="Arial" w:cs="Arial" w:hAnsi="Arial"/>
          <w:sz w:val="24"/>
          <w:szCs w:val="24"/>
        </w:rPr>
        <w:t>,</w:t>
      </w:r>
    </w:p>
    <w:p>
      <w:pPr>
        <w:pStyle w:val="style51"/>
        <w:numPr>
          <w:ilvl w:val="1"/>
          <w:numId w:val="2"/>
        </w:numPr>
        <w:spacing w:after="0" w:before="0" w:line="100" w:lineRule="atLeast"/>
        <w:ind w:hanging="720" w:left="0" w:right="0"/>
        <w:contextualSpacing/>
        <w:jc w:val="both"/>
      </w:pPr>
      <w:r>
        <w:rPr>
          <w:rFonts w:ascii="Arial" w:cs="Arial" w:eastAsia="Calibri" w:hAnsi="Arial"/>
          <w:color w:val="000000"/>
          <w:sz w:val="24"/>
          <w:szCs w:val="24"/>
          <w:lang w:val="mn-MN"/>
        </w:rPr>
        <w:t>Монгол Улсын хэмжээнд хэрэглэж байгаа нийт нүүрсний 78%-ийг дулааны цахилгаан станц хэрэглэдэг бөгөөд дулааны цахилгаан станцын зуух нь түлшний зарцуулалт их, үр ашиг багатай, шаталтын горимын хяналт, тохиргоо муутай, утааны хийг цэвэрлэгээ хангалтгүй зэргээс агаарын бохирдолд тодорхой нөлөөллийг үзүүлдэг тул цаашид “</w:t>
      </w:r>
      <w:r>
        <w:rPr>
          <w:rFonts w:ascii="Arial" w:cs="Arial" w:eastAsia="Calibri" w:hAnsi="Arial"/>
          <w:color w:val="000000"/>
          <w:sz w:val="24"/>
          <w:szCs w:val="24"/>
        </w:rPr>
        <w:t>ДЦС</w:t>
      </w:r>
      <w:r>
        <w:rPr>
          <w:rFonts w:ascii="Arial" w:cs="Arial" w:eastAsia="Calibri" w:hAnsi="Arial"/>
          <w:color w:val="000000"/>
          <w:sz w:val="24"/>
          <w:szCs w:val="24"/>
          <w:lang w:val="mn-MN"/>
        </w:rPr>
        <w:t>-</w:t>
      </w:r>
      <w:r>
        <w:rPr>
          <w:rFonts w:ascii="Arial" w:cs="Arial" w:eastAsia="Calibri" w:hAnsi="Arial"/>
          <w:color w:val="000000"/>
          <w:sz w:val="24"/>
          <w:szCs w:val="24"/>
        </w:rPr>
        <w:t>IV</w:t>
      </w:r>
      <w:r>
        <w:rPr>
          <w:rFonts w:ascii="Arial" w:cs="Arial" w:eastAsia="Calibri" w:hAnsi="Arial"/>
          <w:color w:val="000000"/>
          <w:sz w:val="24"/>
          <w:szCs w:val="24"/>
          <w:lang w:val="mn-MN"/>
        </w:rPr>
        <w:t>”</w:t>
      </w:r>
      <w:r>
        <w:rPr>
          <w:rFonts w:ascii="Arial" w:cs="Arial" w:eastAsia="Calibri" w:hAnsi="Arial"/>
          <w:color w:val="000000"/>
          <w:sz w:val="24"/>
          <w:szCs w:val="24"/>
        </w:rPr>
        <w:t>-</w:t>
      </w:r>
      <w:r>
        <w:rPr>
          <w:rFonts w:ascii="Arial" w:cs="Arial" w:eastAsia="Calibri" w:hAnsi="Arial"/>
          <w:color w:val="000000"/>
          <w:sz w:val="24"/>
          <w:szCs w:val="24"/>
          <w:lang w:val="mn-MN"/>
        </w:rPr>
        <w:t xml:space="preserve">ийн болон бусад станцын зуухнууд, шинээр байгуулагдах станцуудад </w:t>
      </w:r>
      <w:r>
        <w:rPr>
          <w:rFonts w:ascii="Arial" w:cs="Arial" w:eastAsia="Calibri" w:hAnsi="Arial"/>
          <w:color w:val="000000"/>
          <w:sz w:val="24"/>
          <w:szCs w:val="24"/>
        </w:rPr>
        <w:t>БАТ/БЭП</w:t>
      </w:r>
      <w:r>
        <w:rPr>
          <w:rFonts w:ascii="Arial" w:cs="Arial" w:eastAsia="Calibri" w:hAnsi="Arial"/>
          <w:color w:val="000000"/>
          <w:sz w:val="24"/>
          <w:szCs w:val="24"/>
          <w:lang w:val="mn-MN"/>
        </w:rPr>
        <w:t xml:space="preserve"> нэвтрүүлэх чиглэлээр тодорхой ажлуудыг авч хэрэгжүүлэх шаардлагатай. </w:t>
      </w:r>
    </w:p>
    <w:p>
      <w:pPr>
        <w:pStyle w:val="style51"/>
        <w:numPr>
          <w:ilvl w:val="1"/>
          <w:numId w:val="2"/>
        </w:numPr>
        <w:spacing w:after="0" w:before="0" w:line="100" w:lineRule="atLeast"/>
        <w:ind w:hanging="720" w:left="0" w:right="0"/>
        <w:contextualSpacing/>
        <w:jc w:val="both"/>
      </w:pPr>
      <w:r>
        <w:rPr>
          <w:rFonts w:ascii="Arial" w:cs="Arial" w:eastAsia="MS Gothic" w:hAnsi="Arial"/>
          <w:sz w:val="24"/>
          <w:szCs w:val="24"/>
          <w:lang w:val="mn-MN"/>
        </w:rPr>
        <w:t xml:space="preserve">Гэр хорооллын цахилгаан хангамжийн найдвартай ажиллагааг хангах, өргөтгөх </w:t>
      </w:r>
    </w:p>
    <w:p>
      <w:pPr>
        <w:pStyle w:val="style51"/>
        <w:numPr>
          <w:ilvl w:val="1"/>
          <w:numId w:val="2"/>
        </w:numPr>
        <w:spacing w:after="0" w:before="0" w:line="100" w:lineRule="atLeast"/>
        <w:ind w:hanging="720" w:left="0" w:right="0"/>
        <w:contextualSpacing/>
        <w:jc w:val="both"/>
      </w:pPr>
      <w:r>
        <w:rPr>
          <w:rFonts w:ascii="Arial" w:cs="Arial" w:eastAsia="MS Gothic" w:hAnsi="Arial"/>
          <w:sz w:val="24"/>
          <w:szCs w:val="24"/>
          <w:lang w:val="mn-MN"/>
        </w:rPr>
        <w:t xml:space="preserve">Төвлөрсөн дулаан хангамжийн одоогийн хүчин чадал </w:t>
      </w:r>
      <w:r>
        <w:rPr>
          <w:rFonts w:ascii="Arial" w:cs="Arial" w:eastAsia="MS Gothic" w:hAnsi="Arial"/>
          <w:i/>
          <w:iCs/>
          <w:sz w:val="24"/>
          <w:szCs w:val="24"/>
          <w:lang w:val="mn-MN"/>
        </w:rPr>
        <w:t xml:space="preserve">2,282 Гкал/ц </w:t>
      </w:r>
      <w:r>
        <w:rPr>
          <w:rFonts w:ascii="Arial" w:cs="Arial" w:eastAsia="MS Gothic" w:hAnsi="Arial"/>
          <w:sz w:val="24"/>
          <w:szCs w:val="24"/>
          <w:lang w:val="mn-MN"/>
        </w:rPr>
        <w:t xml:space="preserve">байгаа ба  2020 онд дулааны оргил хэрэгцээ </w:t>
      </w:r>
      <w:r>
        <w:rPr>
          <w:rFonts w:ascii="Arial" w:cs="Arial" w:eastAsia="MS Gothic" w:hAnsi="Arial"/>
          <w:i/>
          <w:iCs/>
          <w:sz w:val="24"/>
          <w:szCs w:val="24"/>
          <w:lang w:val="mn-MN"/>
        </w:rPr>
        <w:t xml:space="preserve">2,420 Гкал/ц </w:t>
      </w:r>
      <w:r>
        <w:rPr>
          <w:rFonts w:ascii="Arial" w:cs="Arial" w:eastAsia="MS Gothic" w:hAnsi="Arial"/>
          <w:sz w:val="24"/>
          <w:szCs w:val="24"/>
          <w:lang w:val="mn-MN"/>
        </w:rPr>
        <w:t xml:space="preserve">байхаар тооцоологдож байгаатай холбогдуулан 5 ДЦС-ын бүтээн байгуулалтын ажлыг нэн даруй эхлүүлэх. </w:t>
      </w:r>
    </w:p>
    <w:p>
      <w:pPr>
        <w:pStyle w:val="style51"/>
        <w:numPr>
          <w:ilvl w:val="1"/>
          <w:numId w:val="2"/>
        </w:numPr>
        <w:spacing w:after="0" w:before="0" w:line="100" w:lineRule="atLeast"/>
        <w:ind w:hanging="720" w:left="0" w:right="0"/>
        <w:contextualSpacing/>
        <w:jc w:val="both"/>
      </w:pPr>
      <w:r>
        <w:rPr>
          <w:rFonts w:ascii="Arial" w:cs="Arial" w:eastAsia="MS Gothic" w:hAnsi="Arial"/>
          <w:sz w:val="24"/>
          <w:szCs w:val="24"/>
          <w:lang w:val="mn-MN"/>
        </w:rPr>
        <w:t>Төвлөрсөн дулаан хангамжийн шугам сүлжээг өргөтгөх</w:t>
      </w:r>
    </w:p>
    <w:p>
      <w:pPr>
        <w:pStyle w:val="style51"/>
        <w:numPr>
          <w:ilvl w:val="1"/>
          <w:numId w:val="2"/>
        </w:numPr>
        <w:spacing w:after="0" w:before="0" w:line="100" w:lineRule="atLeast"/>
        <w:ind w:hanging="720" w:left="0" w:right="0"/>
        <w:contextualSpacing/>
        <w:jc w:val="both"/>
      </w:pPr>
      <w:r>
        <w:rPr>
          <w:rFonts w:ascii="Arial" w:cs="Arial" w:eastAsia="MS Gothic" w:hAnsi="Arial"/>
          <w:sz w:val="24"/>
          <w:szCs w:val="24"/>
          <w:lang w:val="mn-MN"/>
        </w:rPr>
        <w:t>Нийтийн орон сууцны хорооллын дулааны алдагдлыг бууруулах хөтөлбөрийг хэрэгжүүлэх, улмаар өсөн нэмэгдэж буй төвлөрсөн дулааны хэрэглээг сааруулах</w:t>
      </w:r>
    </w:p>
    <w:p>
      <w:pPr>
        <w:pStyle w:val="style51"/>
        <w:numPr>
          <w:ilvl w:val="1"/>
          <w:numId w:val="2"/>
        </w:numPr>
        <w:spacing w:after="0" w:before="0" w:line="100" w:lineRule="atLeast"/>
        <w:ind w:hanging="720" w:left="0" w:right="0"/>
        <w:contextualSpacing/>
        <w:jc w:val="both"/>
      </w:pPr>
      <w:r>
        <w:rPr>
          <w:rFonts w:ascii="Arial" w:cs="Arial" w:eastAsia="MS Gothic" w:hAnsi="Arial"/>
          <w:sz w:val="24"/>
          <w:szCs w:val="24"/>
          <w:lang w:val="mn-MN"/>
        </w:rPr>
        <w:t xml:space="preserve">Нийтийн том оврын хуучин тээврийн хэрэгслүүдээс ялгарах агаар бохирдуулагч бодисыг бууруулах зорилгоор нарийн ширхэгт тоосонцрын шүүлтүүр суурилуулах </w:t>
      </w:r>
      <w:r>
        <w:rPr>
          <w:rFonts w:ascii="Arial" w:cs="Arial" w:eastAsia="MS Gothic" w:hAnsi="Arial"/>
          <w:sz w:val="24"/>
          <w:szCs w:val="24"/>
        </w:rPr>
        <w:t>(DPF)</w:t>
      </w:r>
    </w:p>
    <w:p>
      <w:pPr>
        <w:pStyle w:val="style51"/>
        <w:numPr>
          <w:ilvl w:val="1"/>
          <w:numId w:val="2"/>
        </w:numPr>
        <w:spacing w:after="0" w:before="0" w:line="100" w:lineRule="atLeast"/>
        <w:ind w:hanging="720" w:left="0" w:right="0"/>
        <w:contextualSpacing/>
        <w:jc w:val="both"/>
      </w:pPr>
      <w:r>
        <w:rPr>
          <w:rFonts w:ascii="Arial" w:cs="Arial" w:eastAsia="MS Gothic" w:hAnsi="Arial"/>
          <w:sz w:val="24"/>
          <w:szCs w:val="24"/>
          <w:lang w:val="mn-MN"/>
        </w:rPr>
        <w:t>“</w:t>
      </w:r>
      <w:r>
        <w:rPr>
          <w:rFonts w:ascii="Arial" w:cs="Arial" w:eastAsia="MS Gothic" w:hAnsi="Arial"/>
          <w:sz w:val="24"/>
          <w:szCs w:val="24"/>
          <w:lang w:val="mn-MN"/>
        </w:rPr>
        <w:t xml:space="preserve">Нийслэлийн нийтийн тээврийг хөгжүүлэх хөрөнгө оруулалтын хөтөлбөр” </w:t>
      </w:r>
      <w:r>
        <w:rPr>
          <w:rFonts w:ascii="Arial" w:cs="Arial" w:eastAsia="MS Gothic" w:hAnsi="Arial"/>
          <w:sz w:val="24"/>
          <w:szCs w:val="24"/>
        </w:rPr>
        <w:t xml:space="preserve">BRT /Bus rapid transit/ </w:t>
      </w:r>
      <w:r>
        <w:rPr>
          <w:rFonts w:ascii="Arial" w:cs="Arial" w:eastAsia="MS Gothic" w:hAnsi="Arial"/>
          <w:sz w:val="24"/>
          <w:szCs w:val="24"/>
          <w:lang w:val="mn-MN"/>
        </w:rPr>
        <w:t>төслийг хэрэгжүүлэх</w:t>
      </w:r>
    </w:p>
    <w:p>
      <w:pPr>
        <w:pStyle w:val="style51"/>
        <w:numPr>
          <w:ilvl w:val="1"/>
          <w:numId w:val="2"/>
        </w:numPr>
        <w:spacing w:after="0" w:before="0" w:line="100" w:lineRule="atLeast"/>
        <w:ind w:hanging="720" w:left="0" w:right="0"/>
        <w:contextualSpacing/>
        <w:jc w:val="both"/>
      </w:pPr>
      <w:r>
        <w:rPr>
          <w:rFonts w:ascii="Arial" w:cs="Arial" w:hAnsi="Arial"/>
          <w:sz w:val="24"/>
          <w:szCs w:val="24"/>
          <w:lang w:val="mn-MN"/>
        </w:rPr>
        <w:t xml:space="preserve">Агаарын чанарын хяналт-шинжилгээг өргөжүүлж, тоосонцрын хэмжилтийн автомат багажаар гэр хороололд байрлах харуулуудыг нэмж тоноглох, </w:t>
      </w:r>
    </w:p>
    <w:p>
      <w:pPr>
        <w:pStyle w:val="style51"/>
        <w:numPr>
          <w:ilvl w:val="1"/>
          <w:numId w:val="2"/>
        </w:numPr>
        <w:spacing w:after="0" w:before="0" w:line="100" w:lineRule="atLeast"/>
        <w:ind w:hanging="720" w:left="0" w:right="0"/>
        <w:contextualSpacing/>
        <w:jc w:val="both"/>
      </w:pPr>
      <w:r>
        <w:rPr>
          <w:rFonts w:ascii="Arial" w:cs="Arial" w:hAnsi="Arial"/>
          <w:sz w:val="24"/>
          <w:szCs w:val="24"/>
          <w:lang w:val="mn-MN"/>
        </w:rPr>
        <w:t>Агаарын бохирдлыг бууруулах үндэсний хорооны Ажлын албыг үргэлжлүүлэн ажиллуулах</w:t>
      </w:r>
    </w:p>
    <w:p>
      <w:pPr>
        <w:pStyle w:val="style0"/>
        <w:spacing w:after="0" w:before="0" w:line="100" w:lineRule="atLeast"/>
        <w:contextualSpacing w:val="false"/>
      </w:pPr>
      <w:r>
        <w:rPr>
          <w:rFonts w:ascii="Arial" w:cs="Arial" w:hAnsi="Arial"/>
          <w:b/>
          <w:sz w:val="24"/>
          <w:szCs w:val="24"/>
          <w:lang w:val="mn-MN"/>
        </w:rPr>
      </w:r>
    </w:p>
    <w:p>
      <w:pPr>
        <w:pStyle w:val="style0"/>
        <w:spacing w:after="0" w:before="0" w:line="100" w:lineRule="atLeast"/>
        <w:contextualSpacing w:val="false"/>
      </w:pPr>
      <w:r>
        <w:rPr>
          <w:rFonts w:ascii="Arial" w:hAnsi="Arial"/>
        </w:rPr>
      </w:r>
    </w:p>
    <w:sectPr>
      <w:type w:val="nextPage"/>
      <w:pgSz w:h="16838" w:w="11906"/>
      <w:pgMar w:bottom="720" w:footer="0" w:gutter="0" w:header="0" w:left="1440" w:right="720" w:top="72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408" w:left="408"/>
      </w:pPr>
    </w:lvl>
    <w:lvl w:ilvl="1">
      <w:start w:val="1"/>
      <w:numFmt w:val="bullet"/>
      <w:lvlText w:val=""/>
      <w:lvlJc w:val="left"/>
      <w:pPr>
        <w:ind w:hanging="720" w:left="1080"/>
      </w:pPr>
      <w:rPr>
        <w:rFonts w:ascii="Symbol" w:cs="Symbol" w:hAnsi="Symbol" w:hint="default"/>
        <w:b w:val="false"/>
      </w:rPr>
    </w:lvl>
    <w:lvl w:ilvl="2">
      <w:start w:val="1"/>
      <w:numFmt w:val="decimal"/>
      <w:lvlText w:val="%1.%2.%3."/>
      <w:lvlJc w:val="left"/>
      <w:pPr>
        <w:ind w:hanging="720" w:left="1440"/>
      </w:pPr>
    </w:lvl>
    <w:lvl w:ilvl="3">
      <w:start w:val="1"/>
      <w:numFmt w:val="decimal"/>
      <w:lvlText w:val="%1.%2.%3.%4."/>
      <w:lvlJc w:val="left"/>
      <w:pPr>
        <w:ind w:hanging="1080" w:left="2160"/>
      </w:pPr>
    </w:lvl>
    <w:lvl w:ilvl="4">
      <w:start w:val="1"/>
      <w:numFmt w:val="decimal"/>
      <w:lvlText w:val="%1.%2.%3.%4.%5."/>
      <w:lvlJc w:val="left"/>
      <w:pPr>
        <w:ind w:hanging="1080" w:left="2520"/>
      </w:pPr>
    </w:lvl>
    <w:lvl w:ilvl="5">
      <w:start w:val="1"/>
      <w:numFmt w:val="decimal"/>
      <w:lvlText w:val="%1.%2.%3.%4.%5.%6."/>
      <w:lvlJc w:val="left"/>
      <w:pPr>
        <w:ind w:hanging="1440" w:left="3240"/>
      </w:pPr>
    </w:lvl>
    <w:lvl w:ilvl="6">
      <w:start w:val="1"/>
      <w:numFmt w:val="decimal"/>
      <w:lvlText w:val="%1.%2.%3.%4.%5.%6.%7."/>
      <w:lvlJc w:val="left"/>
      <w:pPr>
        <w:ind w:hanging="1440" w:left="3600"/>
      </w:pPr>
    </w:lvl>
    <w:lvl w:ilvl="7">
      <w:start w:val="1"/>
      <w:numFmt w:val="decimal"/>
      <w:lvlText w:val="%1.%2.%3.%4.%5.%6.%7.%8."/>
      <w:lvlJc w:val="left"/>
      <w:pPr>
        <w:ind w:hanging="1800" w:left="4320"/>
      </w:pPr>
    </w:lvl>
    <w:lvl w:ilvl="8">
      <w:start w:val="1"/>
      <w:numFmt w:val="decimal"/>
      <w:lvlText w:val="%1.%2.%3.%4.%5.%6.%7.%8.%9."/>
      <w:lvlJc w:val="left"/>
      <w:pPr>
        <w:ind w:hanging="2160" w:left="5040"/>
      </w:pPr>
    </w:lvl>
  </w:abstractNum>
  <w:num w:numId="1">
    <w:abstractNumId w:val="1"/>
  </w:num>
  <w:num w:numId="2">
    <w:abstractNumId w:val="2"/>
  </w:num>
</w:numbering>
</file>

<file path=word/settings.xml><?xml version="1.0" encoding="utf-8"?>
<w:settings xmlns:w="http://schemas.openxmlformats.org/wordprocessingml/2006/main">
  <w:zoom w:percent="117"/>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Times New Roman" w:cs="Calibri" w:eastAsia="SimSun" w:hAnsi="Times New Roman"/>
      <w:color w:val="auto"/>
      <w:sz w:val="24"/>
      <w:szCs w:val="22"/>
      <w:lang w:bidi="ar-SA" w:eastAsia="en-US" w:val="en-US"/>
    </w:rPr>
  </w:style>
  <w:style w:styleId="style4" w:type="paragraph">
    <w:name w:val="Heading 4"/>
    <w:basedOn w:val="style0"/>
    <w:next w:val="style47"/>
    <w:pPr>
      <w:keepNext/>
      <w:numPr>
        <w:ilvl w:val="3"/>
        <w:numId w:val="1"/>
      </w:numPr>
      <w:spacing w:after="0" w:before="240" w:line="360" w:lineRule="auto"/>
      <w:contextualSpacing w:val="false"/>
      <w:jc w:val="both"/>
      <w:outlineLvl w:val="3"/>
    </w:pPr>
    <w:rPr>
      <w:rFonts w:ascii="Arial" w:cs="Times New Roman" w:eastAsia="Times New Roman" w:hAnsi="Arial"/>
      <w:b/>
      <w:bCs/>
      <w:sz w:val="24"/>
      <w:szCs w:val="24"/>
    </w:rPr>
  </w:style>
  <w:style w:styleId="style15" w:type="character">
    <w:name w:val="Default Paragraph Font"/>
    <w:next w:val="style15"/>
    <w:rPr/>
  </w:style>
  <w:style w:styleId="style16" w:type="character">
    <w:name w:val="Subtitle Char"/>
    <w:basedOn w:val="style15"/>
    <w:next w:val="style16"/>
    <w:rPr>
      <w:rFonts w:ascii="Calibri" w:cs="" w:hAnsi="Calibri"/>
      <w:color w:val="5A5A5A"/>
      <w:spacing w:val="15"/>
      <w:sz w:val="22"/>
    </w:rPr>
  </w:style>
  <w:style w:styleId="style17" w:type="character">
    <w:name w:val="Heading 4 Char"/>
    <w:basedOn w:val="style15"/>
    <w:next w:val="style17"/>
    <w:rPr>
      <w:rFonts w:ascii="Arial" w:cs="Times New Roman" w:eastAsia="Times New Roman" w:hAnsi="Arial"/>
      <w:b/>
      <w:bCs/>
      <w:sz w:val="24"/>
      <w:szCs w:val="24"/>
    </w:rPr>
  </w:style>
  <w:style w:styleId="style18" w:type="character">
    <w:name w:val="Body Text Char"/>
    <w:basedOn w:val="style15"/>
    <w:next w:val="style18"/>
    <w:rPr>
      <w:rFonts w:ascii="Calibri" w:cs="Times New Roman" w:eastAsia="Calibri" w:hAnsi="Calibri"/>
      <w:sz w:val="22"/>
    </w:rPr>
  </w:style>
  <w:style w:styleId="style19" w:type="character">
    <w:name w:val="List Paragraph Char"/>
    <w:next w:val="style19"/>
    <w:rPr/>
  </w:style>
  <w:style w:styleId="style20" w:type="character">
    <w:name w:val="Header Char"/>
    <w:basedOn w:val="style15"/>
    <w:next w:val="style20"/>
    <w:rPr>
      <w:rFonts w:ascii="Calibri" w:cs="Times New Roman" w:eastAsia="Times New Roman" w:hAnsi="Calibri"/>
      <w:sz w:val="22"/>
    </w:rPr>
  </w:style>
  <w:style w:styleId="style21" w:type="character">
    <w:name w:val="Footer Char"/>
    <w:basedOn w:val="style15"/>
    <w:next w:val="style21"/>
    <w:rPr>
      <w:rFonts w:ascii="Calibri" w:cs="Times New Roman" w:eastAsia="Times New Roman" w:hAnsi="Calibri"/>
      <w:sz w:val="22"/>
    </w:rPr>
  </w:style>
  <w:style w:styleId="style22" w:type="character">
    <w:name w:val="Balloon Text Char"/>
    <w:basedOn w:val="style15"/>
    <w:next w:val="style22"/>
    <w:rPr>
      <w:rFonts w:ascii="Tahoma" w:cs="Tahoma" w:eastAsia="Times New Roman" w:hAnsi="Tahoma"/>
      <w:sz w:val="16"/>
      <w:szCs w:val="16"/>
    </w:rPr>
  </w:style>
  <w:style w:styleId="style23" w:type="character">
    <w:name w:val="No Spacing Char"/>
    <w:next w:val="style23"/>
    <w:rPr>
      <w:rFonts w:ascii="Arial Mon" w:cs="Arial Mon" w:eastAsia="Times New Roman" w:hAnsi="Arial Mon"/>
      <w:sz w:val="20"/>
      <w:szCs w:val="20"/>
    </w:rPr>
  </w:style>
  <w:style w:styleId="style24" w:type="character">
    <w:name w:val="Internet Link"/>
    <w:next w:val="style24"/>
    <w:rPr>
      <w:color w:val="0000FF"/>
      <w:u w:val="single"/>
      <w:lang w:bidi="en-US" w:eastAsia="en-US" w:val="en-US"/>
    </w:rPr>
  </w:style>
  <w:style w:styleId="style25" w:type="character">
    <w:name w:val="apple-converted-space"/>
    <w:next w:val="style25"/>
    <w:rPr/>
  </w:style>
  <w:style w:styleId="style26" w:type="character">
    <w:name w:val="mceitemhidden"/>
    <w:next w:val="style26"/>
    <w:rPr/>
  </w:style>
  <w:style w:styleId="style27" w:type="character">
    <w:name w:val="mceitemhiddenspellword"/>
    <w:next w:val="style27"/>
    <w:rPr/>
  </w:style>
  <w:style w:styleId="style28" w:type="character">
    <w:name w:val="Emphasis"/>
    <w:basedOn w:val="style15"/>
    <w:next w:val="style28"/>
    <w:rPr>
      <w:i/>
      <w:iCs/>
    </w:rPr>
  </w:style>
  <w:style w:styleId="style29" w:type="character">
    <w:name w:val="ListLabel 1"/>
    <w:next w:val="style29"/>
    <w:rPr>
      <w:i w:val="false"/>
    </w:rPr>
  </w:style>
  <w:style w:styleId="style30" w:type="character">
    <w:name w:val="ListLabel 2"/>
    <w:next w:val="style30"/>
    <w:rPr>
      <w:rFonts w:eastAsia="Times New Roman"/>
      <w:sz w:val="24"/>
    </w:rPr>
  </w:style>
  <w:style w:styleId="style31" w:type="character">
    <w:name w:val="ListLabel 3"/>
    <w:next w:val="style31"/>
    <w:rPr>
      <w:color w:val="00000A"/>
      <w:sz w:val="22"/>
    </w:rPr>
  </w:style>
  <w:style w:styleId="style32" w:type="character">
    <w:name w:val="ListLabel 4"/>
    <w:next w:val="style32"/>
    <w:rPr>
      <w:color w:val="00000A"/>
      <w:sz w:val="18"/>
    </w:rPr>
  </w:style>
  <w:style w:styleId="style33" w:type="character">
    <w:name w:val="ListLabel 5"/>
    <w:next w:val="style33"/>
    <w:rPr>
      <w:rFonts w:cs="Courier New"/>
    </w:rPr>
  </w:style>
  <w:style w:styleId="style34" w:type="character">
    <w:name w:val="ListLabel 6"/>
    <w:next w:val="style34"/>
    <w:rPr>
      <w:color w:val="00000A"/>
    </w:rPr>
  </w:style>
  <w:style w:styleId="style35" w:type="character">
    <w:name w:val="ListLabel 7"/>
    <w:next w:val="style35"/>
    <w:rPr>
      <w:rFonts w:cs="Arial" w:eastAsia="Times New Roman"/>
      <w:b w:val="false"/>
      <w:u w:val="none"/>
    </w:rPr>
  </w:style>
  <w:style w:styleId="style36" w:type="character">
    <w:name w:val="ListLabel 8"/>
    <w:next w:val="style36"/>
    <w:rPr>
      <w:rFonts w:cs="Times New Roman" w:eastAsia="Calibri"/>
    </w:rPr>
  </w:style>
  <w:style w:styleId="style37" w:type="character">
    <w:name w:val="ListLabel 9"/>
    <w:next w:val="style37"/>
    <w:rPr>
      <w:rFonts w:cs="Arial" w:eastAsia="Calibri"/>
    </w:rPr>
  </w:style>
  <w:style w:styleId="style38" w:type="character">
    <w:name w:val="ListLabel 10"/>
    <w:next w:val="style38"/>
    <w:rPr>
      <w:rFonts w:cs="Arial"/>
      <w:b w:val="false"/>
      <w:sz w:val="24"/>
    </w:rPr>
  </w:style>
  <w:style w:styleId="style39" w:type="character">
    <w:name w:val="ListLabel 11"/>
    <w:next w:val="style39"/>
    <w:rPr>
      <w:b/>
    </w:rPr>
  </w:style>
  <w:style w:styleId="style40" w:type="character">
    <w:name w:val="ListLabel 12"/>
    <w:next w:val="style40"/>
    <w:rPr>
      <w:rFonts w:cs="Arial" w:eastAsia="Times New Roman"/>
    </w:rPr>
  </w:style>
  <w:style w:styleId="style41" w:type="character">
    <w:name w:val="ListLabel 13"/>
    <w:next w:val="style41"/>
    <w:rPr>
      <w:rFonts w:cs=""/>
    </w:rPr>
  </w:style>
  <w:style w:styleId="style42" w:type="character">
    <w:name w:val="ListLabel 14"/>
    <w:next w:val="style42"/>
    <w:rPr>
      <w:color w:val="000000"/>
    </w:rPr>
  </w:style>
  <w:style w:styleId="style43" w:type="character">
    <w:name w:val="ListLabel 15"/>
    <w:next w:val="style43"/>
    <w:rPr>
      <w:i w:val="false"/>
      <w:color w:val="000000"/>
    </w:rPr>
  </w:style>
  <w:style w:styleId="style44" w:type="character">
    <w:name w:val="ListLabel 16"/>
    <w:next w:val="style44"/>
    <w:rPr>
      <w:b w:val="false"/>
    </w:rPr>
  </w:style>
  <w:style w:styleId="style45" w:type="character">
    <w:name w:val="ListLabel 17"/>
    <w:next w:val="style45"/>
    <w:rPr>
      <w:rFonts w:cs="Calibri"/>
    </w:rPr>
  </w:style>
  <w:style w:styleId="style46" w:type="paragraph">
    <w:name w:val="Heading"/>
    <w:basedOn w:val="style0"/>
    <w:next w:val="style47"/>
    <w:pPr>
      <w:keepNext/>
      <w:spacing w:after="120" w:before="240"/>
      <w:contextualSpacing w:val="false"/>
    </w:pPr>
    <w:rPr>
      <w:rFonts w:ascii="Arial" w:cs="Mangal" w:eastAsia="Microsoft YaHei" w:hAnsi="Arial"/>
      <w:sz w:val="28"/>
      <w:szCs w:val="28"/>
    </w:rPr>
  </w:style>
  <w:style w:styleId="style47" w:type="paragraph">
    <w:name w:val="Text body"/>
    <w:basedOn w:val="style0"/>
    <w:next w:val="style47"/>
    <w:pPr>
      <w:spacing w:after="120" w:before="0"/>
      <w:contextualSpacing w:val="false"/>
    </w:pPr>
    <w:rPr>
      <w:rFonts w:ascii="Calibri" w:cs="Times New Roman" w:eastAsia="Calibri" w:hAnsi="Calibri"/>
      <w:sz w:val="22"/>
    </w:rPr>
  </w:style>
  <w:style w:styleId="style48" w:type="paragraph">
    <w:name w:val="List"/>
    <w:basedOn w:val="style0"/>
    <w:next w:val="style48"/>
    <w:pPr>
      <w:spacing w:after="200" w:before="0"/>
      <w:ind w:hanging="360" w:left="360" w:right="0"/>
      <w:contextualSpacing/>
    </w:pPr>
    <w:rPr>
      <w:rFonts w:ascii="Calibri" w:cs="Times New Roman" w:eastAsia="Times New Roman" w:hAnsi="Calibri"/>
      <w:sz w:val="22"/>
    </w:rPr>
  </w:style>
  <w:style w:styleId="style49" w:type="paragraph">
    <w:name w:val="Caption"/>
    <w:basedOn w:val="style0"/>
    <w:next w:val="style49"/>
    <w:pPr>
      <w:suppressLineNumbers/>
      <w:spacing w:after="120" w:before="120"/>
      <w:contextualSpacing w:val="false"/>
    </w:pPr>
    <w:rPr>
      <w:rFonts w:cs="Mangal"/>
      <w:i/>
      <w:iCs/>
      <w:sz w:val="24"/>
      <w:szCs w:val="24"/>
    </w:rPr>
  </w:style>
  <w:style w:styleId="style50" w:type="paragraph">
    <w:name w:val="Index"/>
    <w:basedOn w:val="style0"/>
    <w:next w:val="style50"/>
    <w:pPr>
      <w:suppressLineNumbers/>
    </w:pPr>
    <w:rPr>
      <w:rFonts w:cs="Mangal"/>
    </w:rPr>
  </w:style>
  <w:style w:styleId="style51" w:type="paragraph">
    <w:name w:val="List Paragraph"/>
    <w:basedOn w:val="style0"/>
    <w:next w:val="style51"/>
    <w:pPr>
      <w:spacing w:after="200" w:before="0"/>
      <w:ind w:hanging="0" w:left="720" w:right="0"/>
      <w:contextualSpacing/>
    </w:pPr>
    <w:rPr/>
  </w:style>
  <w:style w:styleId="style52" w:type="paragraph">
    <w:name w:val="Subtitle"/>
    <w:basedOn w:val="style0"/>
    <w:next w:val="style47"/>
    <w:pPr>
      <w:spacing w:after="160" w:before="0" w:line="256" w:lineRule="auto"/>
      <w:contextualSpacing w:val="false"/>
      <w:jc w:val="center"/>
    </w:pPr>
    <w:rPr>
      <w:rFonts w:ascii="Calibri" w:cs="" w:hAnsi="Calibri"/>
      <w:i/>
      <w:iCs/>
      <w:color w:val="5A5A5A"/>
      <w:spacing w:val="15"/>
      <w:sz w:val="22"/>
      <w:szCs w:val="28"/>
    </w:rPr>
  </w:style>
  <w:style w:styleId="style53" w:type="paragraph">
    <w:name w:val="Header"/>
    <w:basedOn w:val="style0"/>
    <w:next w:val="style53"/>
    <w:pPr>
      <w:suppressLineNumbers/>
      <w:tabs>
        <w:tab w:leader="none" w:pos="4680" w:val="center"/>
        <w:tab w:leader="none" w:pos="9360" w:val="right"/>
      </w:tabs>
      <w:spacing w:after="0" w:before="0" w:line="100" w:lineRule="atLeast"/>
      <w:contextualSpacing w:val="false"/>
    </w:pPr>
    <w:rPr>
      <w:rFonts w:ascii="Calibri" w:cs="Times New Roman" w:eastAsia="Times New Roman" w:hAnsi="Calibri"/>
      <w:sz w:val="22"/>
    </w:rPr>
  </w:style>
  <w:style w:styleId="style54" w:type="paragraph">
    <w:name w:val="Footer"/>
    <w:basedOn w:val="style0"/>
    <w:next w:val="style54"/>
    <w:pPr>
      <w:suppressLineNumbers/>
      <w:tabs>
        <w:tab w:leader="none" w:pos="4680" w:val="center"/>
        <w:tab w:leader="none" w:pos="9360" w:val="right"/>
      </w:tabs>
      <w:spacing w:after="0" w:before="0" w:line="100" w:lineRule="atLeast"/>
      <w:contextualSpacing w:val="false"/>
    </w:pPr>
    <w:rPr>
      <w:rFonts w:ascii="Calibri" w:cs="Times New Roman" w:eastAsia="Times New Roman" w:hAnsi="Calibri"/>
      <w:sz w:val="22"/>
    </w:rPr>
  </w:style>
  <w:style w:styleId="style55" w:type="paragraph">
    <w:name w:val="Balloon Text"/>
    <w:basedOn w:val="style0"/>
    <w:next w:val="style55"/>
    <w:pPr>
      <w:spacing w:after="0" w:before="0" w:line="100" w:lineRule="atLeast"/>
      <w:contextualSpacing w:val="false"/>
    </w:pPr>
    <w:rPr>
      <w:rFonts w:ascii="Tahoma" w:cs="Tahoma" w:eastAsia="Times New Roman" w:hAnsi="Tahoma"/>
      <w:sz w:val="16"/>
      <w:szCs w:val="16"/>
    </w:rPr>
  </w:style>
  <w:style w:styleId="style56" w:type="paragraph">
    <w:name w:val="No Spacing"/>
    <w:next w:val="style56"/>
    <w:pPr>
      <w:widowControl w:val="false"/>
      <w:tabs/>
      <w:suppressAutoHyphens w:val="true"/>
      <w:spacing w:after="0" w:before="0" w:line="100" w:lineRule="atLeast"/>
      <w:contextualSpacing w:val="false"/>
    </w:pPr>
    <w:rPr>
      <w:rFonts w:ascii="Arial Mon" w:cs="Arial Mon" w:eastAsia="Times New Roman" w:hAnsi="Arial Mon"/>
      <w:color w:val="auto"/>
      <w:sz w:val="20"/>
      <w:szCs w:val="20"/>
      <w:lang w:bidi="ar-SA" w:eastAsia="en-US" w:val="en-US"/>
    </w:rPr>
  </w:style>
  <w:style w:styleId="style57" w:type="paragraph">
    <w:name w:val="Paragraph"/>
    <w:basedOn w:val="style48"/>
    <w:next w:val="style57"/>
    <w:pPr>
      <w:spacing w:after="0" w:before="0" w:line="100" w:lineRule="atLeast"/>
      <w:contextualSpacing w:val="false"/>
    </w:pPr>
    <w:rPr>
      <w:rFonts w:ascii="Times New Roman" w:hAnsi="Times New Roman"/>
      <w:sz w:val="24"/>
      <w:szCs w:val="24"/>
    </w:rPr>
  </w:style>
  <w:style w:styleId="style58" w:type="paragraph">
    <w:name w:val="Normal (Web)"/>
    <w:basedOn w:val="style0"/>
    <w:next w:val="style58"/>
    <w:pPr>
      <w:spacing w:after="28" w:before="28" w:line="100" w:lineRule="atLeast"/>
      <w:contextualSpacing w:val="false"/>
    </w:pPr>
    <w:rPr>
      <w:rFonts w:cs="Times New Roman" w:eastAsia="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pn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11.png"/><Relationship Id="rId9" Type="http://schemas.openxmlformats.org/officeDocument/2006/relationships/image" Target="media/image12.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2016-02-01T23:24:00.00Z</dcterms:created>
  <dc:creator>User</dc:creator>
  <cp:lastModifiedBy>User</cp:lastModifiedBy>
  <cp:lastPrinted>2016-02-02T12:39:48.56Z</cp:lastPrinted>
  <dcterms:modified xsi:type="dcterms:W3CDTF">2016-02-02T01:23:00.00Z</dcterms:modified>
  <cp:revision>2</cp:revision>
</cp:coreProperties>
</file>