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
    </w:p>
    <w:p>
      <w:pPr>
        <w:pStyle w:val="style0"/>
        <w:spacing w:after="0" w:before="0" w:line="100" w:lineRule="atLeast"/>
        <w:ind w:firstLine="720" w:left="720" w:right="0"/>
        <w:contextualSpacing w:val="false"/>
        <w:jc w:val="center"/>
      </w:pPr>
      <w:r>
        <w:rPr/>
      </w:r>
    </w:p>
    <w:p>
      <w:pPr>
        <w:pStyle w:val="style0"/>
        <w:spacing w:after="0" w:before="0" w:line="100" w:lineRule="atLeast"/>
        <w:ind w:firstLine="720" w:left="720" w:right="0"/>
        <w:contextualSpacing w:val="false"/>
        <w:jc w:val="center"/>
      </w:pPr>
      <w:r>
        <w:rPr/>
      </w:r>
    </w:p>
    <w:p>
      <w:pPr>
        <w:pStyle w:val="style0"/>
        <w:spacing w:after="0" w:before="0" w:line="100" w:lineRule="atLeast"/>
        <w:ind w:firstLine="720" w:left="72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b/>
          <w:bCs/>
          <w:i/>
          <w:iCs/>
          <w:sz w:val="24"/>
          <w:szCs w:val="24"/>
        </w:rPr>
        <w:t xml:space="preserve">Монгол Улсын Их Хурлын 2013 </w:t>
      </w:r>
      <w:r>
        <w:rPr>
          <w:b/>
          <w:bCs/>
          <w:i/>
          <w:iCs/>
          <w:sz w:val="24"/>
          <w:szCs w:val="24"/>
          <w:lang w:val="mn-MN"/>
        </w:rPr>
        <w:t xml:space="preserve">оны </w:t>
      </w:r>
      <w:r>
        <w:rPr>
          <w:b/>
          <w:bCs/>
          <w:i/>
          <w:iCs/>
          <w:sz w:val="24"/>
          <w:szCs w:val="24"/>
          <w:lang w:val="mn-MN"/>
        </w:rPr>
        <w:t>намрын ээлжит</w:t>
      </w:r>
      <w:r>
        <w:rPr>
          <w:rFonts w:cs="Arial"/>
          <w:b/>
          <w:bCs/>
          <w:i/>
          <w:iCs/>
          <w:sz w:val="24"/>
          <w:szCs w:val="24"/>
          <w:lang w:val="mn-MN"/>
        </w:rPr>
        <w:t xml:space="preserve"> </w:t>
      </w:r>
      <w:r>
        <w:rPr>
          <w:rFonts w:cs="Arial"/>
          <w:b/>
          <w:bCs/>
          <w:i/>
          <w:iCs/>
          <w:sz w:val="24"/>
          <w:szCs w:val="24"/>
        </w:rPr>
        <w:t xml:space="preserve">чуулганы </w:t>
      </w:r>
    </w:p>
    <w:p>
      <w:pPr>
        <w:pStyle w:val="style0"/>
        <w:spacing w:after="0" w:before="0" w:line="100" w:lineRule="atLeast"/>
        <w:ind w:firstLine="720" w:left="0" w:right="0"/>
        <w:contextualSpacing w:val="false"/>
        <w:jc w:val="center"/>
      </w:pPr>
      <w:r>
        <w:rPr>
          <w:rFonts w:cs="Arial"/>
          <w:b/>
          <w:bCs/>
          <w:i/>
          <w:iCs/>
          <w:sz w:val="24"/>
          <w:szCs w:val="24"/>
          <w:lang w:val="mn-MN"/>
        </w:rPr>
        <w:t>10 дугаар</w:t>
      </w:r>
      <w:r>
        <w:rPr>
          <w:rFonts w:cs="Arial"/>
          <w:b/>
          <w:bCs/>
          <w:i/>
          <w:iCs/>
          <w:sz w:val="24"/>
          <w:szCs w:val="24"/>
        </w:rPr>
        <w:t xml:space="preserve"> </w:t>
      </w:r>
      <w:r>
        <w:rPr>
          <w:rFonts w:cs="Arial"/>
          <w:b/>
          <w:bCs/>
          <w:i/>
          <w:iCs/>
          <w:sz w:val="24"/>
          <w:szCs w:val="24"/>
          <w:lang w:val="mn-MN"/>
        </w:rPr>
        <w:t>сар</w:t>
      </w:r>
      <w:r>
        <w:rPr>
          <w:rFonts w:cs="Arial"/>
          <w:b/>
          <w:bCs/>
          <w:i/>
          <w:iCs/>
          <w:sz w:val="24"/>
          <w:szCs w:val="24"/>
        </w:rPr>
        <w:t xml:space="preserve">ын </w:t>
      </w:r>
      <w:r>
        <w:rPr>
          <w:rFonts w:cs="Arial"/>
          <w:b/>
          <w:bCs/>
          <w:i/>
          <w:iCs/>
          <w:sz w:val="24"/>
          <w:szCs w:val="24"/>
          <w:lang w:val="mn-MN"/>
        </w:rPr>
        <w:t>01-ний</w:t>
      </w:r>
      <w:r>
        <w:rPr>
          <w:rFonts w:cs="Arial"/>
          <w:b/>
          <w:bCs/>
          <w:i/>
          <w:iCs/>
          <w:sz w:val="24"/>
          <w:szCs w:val="24"/>
        </w:rPr>
        <w:t xml:space="preserve"> өдөр (</w:t>
      </w:r>
      <w:r>
        <w:rPr>
          <w:rFonts w:cs="Arial"/>
          <w:b/>
          <w:bCs/>
          <w:i/>
          <w:iCs/>
          <w:sz w:val="24"/>
          <w:szCs w:val="24"/>
          <w:lang w:val="mn-MN"/>
        </w:rPr>
        <w:t>Мягмар</w:t>
      </w:r>
      <w:r>
        <w:rPr>
          <w:rFonts w:cs="Arial"/>
          <w:b/>
          <w:bCs/>
          <w:i/>
          <w:iCs/>
          <w:sz w:val="24"/>
          <w:szCs w:val="24"/>
        </w:rPr>
        <w:t xml:space="preserve"> </w:t>
      </w:r>
      <w:r>
        <w:rPr>
          <w:rFonts w:cs="Arial"/>
          <w:b/>
          <w:bCs/>
          <w:i/>
          <w:iCs/>
          <w:sz w:val="24"/>
          <w:szCs w:val="24"/>
          <w:lang w:val="mn-MN"/>
        </w:rPr>
        <w:t>гараг</w:t>
      </w:r>
      <w:r>
        <w:rPr>
          <w:rFonts w:cs="Arial"/>
          <w:b/>
          <w:bCs/>
          <w:i/>
          <w:iCs/>
          <w:sz w:val="24"/>
          <w:szCs w:val="24"/>
        </w:rPr>
        <w:t xml:space="preserve">)-ийн </w:t>
      </w:r>
    </w:p>
    <w:p>
      <w:pPr>
        <w:pStyle w:val="style0"/>
        <w:spacing w:after="0" w:before="0" w:line="100" w:lineRule="atLeast"/>
        <w:ind w:firstLine="720" w:left="0" w:right="0"/>
        <w:contextualSpacing w:val="false"/>
        <w:jc w:val="center"/>
      </w:pPr>
      <w:r>
        <w:rPr>
          <w:rFonts w:cs="Arial"/>
          <w:b/>
          <w:bCs/>
          <w:i/>
          <w:iCs/>
          <w:sz w:val="24"/>
          <w:szCs w:val="24"/>
        </w:rPr>
        <w:t xml:space="preserve">нэгдсэн хуралдааны </w:t>
      </w:r>
      <w:r>
        <w:rPr>
          <w:rFonts w:cs="Arial"/>
          <w:b/>
          <w:bCs/>
          <w:i/>
          <w:iCs/>
          <w:sz w:val="24"/>
          <w:szCs w:val="24"/>
          <w:lang w:val="mn-MN"/>
        </w:rPr>
        <w:t>гар тэмдэглэл</w:t>
      </w:r>
      <w:r>
        <w:rPr>
          <w:rFonts w:cs="Arial"/>
          <w:b/>
          <w:bCs/>
          <w:i/>
          <w:iCs/>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Улсын Их Хурлын дарга </w:t>
      </w:r>
      <w:r>
        <w:rPr>
          <w:rFonts w:cs="Arial"/>
          <w:sz w:val="24"/>
          <w:szCs w:val="24"/>
          <w:effect w:val="blinkBackground"/>
        </w:rPr>
        <w:t>З</w:t>
      </w:r>
      <w:r>
        <w:rPr>
          <w:rFonts w:cs="Arial"/>
          <w:sz w:val="24"/>
          <w:szCs w:val="24"/>
        </w:rPr>
        <w:t>.Энхболд ирц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color w:val="000000"/>
          <w:sz w:val="24"/>
          <w:szCs w:val="24"/>
          <w:lang w:val="mn-MN"/>
        </w:rPr>
        <w:t>Х</w:t>
      </w:r>
      <w:r>
        <w:rPr>
          <w:rFonts w:cs="Arial"/>
          <w:color w:val="000000"/>
          <w:sz w:val="24"/>
          <w:szCs w:val="24"/>
        </w:rPr>
        <w:t xml:space="preserve">уралдаанд ирвэл зохих </w:t>
      </w:r>
      <w:r>
        <w:rPr>
          <w:rFonts w:cs="Arial"/>
          <w:color w:val="000000"/>
          <w:sz w:val="24"/>
          <w:szCs w:val="24"/>
          <w:lang w:val="mn-MN"/>
        </w:rPr>
        <w:t>76</w:t>
      </w:r>
      <w:r>
        <w:rPr>
          <w:rFonts w:cs="Arial"/>
          <w:color w:val="000000"/>
          <w:sz w:val="24"/>
          <w:szCs w:val="24"/>
        </w:rPr>
        <w:t xml:space="preserve"> гишүүнээс  </w:t>
      </w:r>
      <w:r>
        <w:rPr>
          <w:rFonts w:cs="Arial"/>
          <w:color w:val="000000"/>
          <w:sz w:val="24"/>
          <w:szCs w:val="24"/>
          <w:lang w:val="mn-MN"/>
        </w:rPr>
        <w:t>48 гишүүн ирж, 63.2 хувийн ирцтэйгээр хуралдаан 11 цаг 50 минутад Төрийн ордны Улсын Их Хурлын чуулганы нэгдсэн хуралдааны танхимд эхлэв.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i/>
          <w:color w:val="000000"/>
          <w:sz w:val="24"/>
          <w:szCs w:val="24"/>
        </w:rPr>
        <w:t xml:space="preserve"> </w:t>
      </w:r>
      <w:r>
        <w:rPr>
          <w:rFonts w:cs="Arial"/>
          <w:i/>
          <w:color w:val="000000"/>
          <w:sz w:val="24"/>
          <w:szCs w:val="24"/>
        </w:rPr>
        <w:tab/>
        <w:t xml:space="preserve">Чөлөөтэй: </w:t>
      </w:r>
      <w:r>
        <w:rPr>
          <w:rFonts w:cs="Arial"/>
          <w:i/>
          <w:color w:val="000000"/>
          <w:sz w:val="24"/>
          <w:szCs w:val="24"/>
          <w:lang w:val="mn-MN"/>
        </w:rPr>
        <w:t xml:space="preserve">М.Батчимэг, Ц.Даваасүрэн, Д.Сумъяабазар; </w:t>
      </w:r>
    </w:p>
    <w:p>
      <w:pPr>
        <w:pStyle w:val="style0"/>
        <w:spacing w:after="0" w:before="0" w:line="100" w:lineRule="atLeast"/>
        <w:ind w:firstLine="720" w:left="0" w:right="0"/>
        <w:contextualSpacing w:val="false"/>
        <w:jc w:val="both"/>
      </w:pPr>
      <w:r>
        <w:rPr>
          <w:rFonts w:cs="Arial"/>
          <w:i/>
          <w:color w:val="000000"/>
          <w:sz w:val="24"/>
          <w:szCs w:val="24"/>
          <w:lang w:val="mn-MN"/>
        </w:rPr>
        <w:t xml:space="preserve">Өвчтэй: Я.Содбаатар; </w:t>
      </w:r>
    </w:p>
    <w:p>
      <w:pPr>
        <w:pStyle w:val="style0"/>
        <w:spacing w:after="0" w:before="0" w:line="100" w:lineRule="atLeast"/>
        <w:ind w:firstLine="720" w:left="0" w:right="0"/>
        <w:contextualSpacing w:val="false"/>
        <w:jc w:val="both"/>
      </w:pPr>
      <w:r>
        <w:rPr>
          <w:rFonts w:cs="Arial"/>
          <w:i/>
          <w:color w:val="000000"/>
          <w:sz w:val="24"/>
          <w:szCs w:val="24"/>
          <w:lang w:val="mn-MN"/>
        </w:rPr>
        <w:t xml:space="preserve">Тасалсан: Х.Баттулга, Ц.Баярсайхан, С.Бямбацогт, Д.Ганхуяг, О.Содбилэг, Х.Тэмүүжин, Ж.Энхбаяр.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i/>
          <w:iCs/>
          <w:color w:val="000000"/>
          <w:sz w:val="24"/>
          <w:szCs w:val="24"/>
          <w:lang w:val="mn-MN"/>
        </w:rPr>
        <w:t xml:space="preserve"> </w:t>
      </w:r>
      <w:r>
        <w:rPr>
          <w:i/>
          <w:iCs/>
          <w:color w:val="000000"/>
          <w:sz w:val="24"/>
          <w:szCs w:val="24"/>
          <w:lang w:val="mn-MN"/>
        </w:rPr>
        <w:t>Хуралдаанд нийт 65 гишүүн</w:t>
      </w:r>
      <w:r>
        <w:rPr>
          <w:i/>
          <w:iCs/>
          <w:color w:val="000000"/>
          <w:sz w:val="24"/>
          <w:szCs w:val="24"/>
        </w:rPr>
        <w:t xml:space="preserve"> </w:t>
      </w:r>
      <w:r>
        <w:rPr>
          <w:i/>
          <w:iCs/>
          <w:color w:val="000000"/>
          <w:sz w:val="24"/>
          <w:szCs w:val="24"/>
          <w:lang w:val="mn-MN"/>
        </w:rPr>
        <w:t>ирж, 85.5 хувийн ирцтэй байв.</w:t>
      </w:r>
    </w:p>
    <w:p>
      <w:pPr>
        <w:pStyle w:val="style0"/>
        <w:spacing w:after="0" w:before="0" w:line="100" w:lineRule="atLeast"/>
        <w:ind w:firstLine="720" w:left="0" w:right="0"/>
        <w:contextualSpacing w:val="false"/>
        <w:jc w:val="both"/>
      </w:pPr>
      <w:r>
        <w:rPr/>
      </w:r>
    </w:p>
    <w:p>
      <w:pPr>
        <w:pStyle w:val="style31"/>
        <w:spacing w:line="100" w:lineRule="atLeast"/>
        <w:jc w:val="both"/>
      </w:pPr>
      <w:r>
        <w:rPr>
          <w:sz w:val="24"/>
          <w:szCs w:val="24"/>
          <w:lang w:val="mn-MN"/>
        </w:rPr>
        <w:tab/>
      </w:r>
      <w:r>
        <w:rPr>
          <w:b/>
          <w:bCs/>
          <w:i/>
          <w:iCs/>
          <w:sz w:val="24"/>
          <w:szCs w:val="24"/>
          <w:lang w:val="mn-MN"/>
        </w:rPr>
        <w:t xml:space="preserve">Нэг. 2013 оны намрын ээлжит чуулганы нээлтийн ажиллагаа. </w:t>
      </w:r>
    </w:p>
    <w:p>
      <w:pPr>
        <w:pStyle w:val="style31"/>
        <w:spacing w:line="100" w:lineRule="atLeast"/>
        <w:jc w:val="both"/>
      </w:pPr>
      <w:r>
        <w:rPr>
          <w:rFonts w:cs="Arial"/>
          <w:sz w:val="24"/>
          <w:szCs w:val="24"/>
          <w:lang w:val="mn-MN"/>
        </w:rPr>
        <w:t xml:space="preserve"> </w:t>
      </w:r>
      <w:r>
        <w:rPr>
          <w:rFonts w:cs="Arial"/>
          <w:sz w:val="24"/>
          <w:szCs w:val="24"/>
          <w:lang w:val="mn-MN"/>
        </w:rPr>
        <w:tab/>
        <w:t>Хуралдаанд Эрүүл мэндийн сайд Н.Удвал,  Зам, тээврийн сайд А.Гансүх, Улсын ерөнхий прокурор Д.Дорлигжав, Нийслэлийн Засаг дарга бөгөөд Улаанбаатар хотын Захирагч Э.Бат-Үүл, Монгол Улсын ерөнхий аудитор А.Зангад, Авлигатай тэмцэх газрын дарга Н.Ганболд, Шүүхийн ерөнхий зөвлөлийн дарга Н.Лүндэндорж, Ерөнхийлөгчийн Тамгын газрын дарга П.Цагаан, Төрийн албаны зөвлөлийн дарга Б.Цогоо, Монголбанкны Ерөнхийлөгч Н.Золжаргал, Санхүүгийн зохицуулах хорооны дарга Д.Баярсайхан, Үндэсний статистикийн хорооны дарга С.Мэндсайхан, Сонгуулийн ерөнхий хорооны дарга Ч.Содномцэрэн, Улсын Их Хурлын даргын зөвлөх С.Ламбаа, З.Нарантуяа, Улсын Их Хурлын Тамгын газрын Ерөнхий нарийн бичгийн дарга Б.Болдбаатар, Нарийн бичгийн дарга Н.Отгончимэг, Б.Цэвээнпүрэв, Хууль зүйн үйлчилгээний хэлтсийн дарга Ж.Дашдорж, Хуралдаан зохион байгуулах хэлтсийн дарга Д.Одсүрэн, Захиргаа, нийтлэг үйлчилгээний хэлтсийн дарга Н.Ширэндэв, Мэдээллийн технологийн хэлтсийн дарга Ж.Элбэгзаяа, Хэвлэл мэдээлэл, олон нийттэй харилцах хэлтсийн дарга Д.Энхтуяа, Улсын Их Хурал дахь Ардчилсан намын бүлгийн Ажлын албаны дарга С.Дэмчиг, МАН-ын бүлгийн ажлын албаны дарга Д.Батбаатар нар  байлцав.</w:t>
      </w:r>
    </w:p>
    <w:p>
      <w:pPr>
        <w:pStyle w:val="style31"/>
        <w:tabs>
          <w:tab w:leader="none" w:pos="506" w:val="left"/>
        </w:tabs>
        <w:spacing w:line="100" w:lineRule="atLeast"/>
        <w:jc w:val="both"/>
      </w:pPr>
      <w:r>
        <w:rPr>
          <w:rFonts w:cs="Arial"/>
          <w:sz w:val="24"/>
          <w:szCs w:val="24"/>
          <w:lang w:val="mn-MN"/>
        </w:rPr>
        <w:tab/>
        <w:t xml:space="preserve">Мөн Монгол Улсад суугаа гадаад орнуудын Элчин сайдын яам, Дипломат төлөөлөгчийн газрын тэргүүнүүд хуралдааны танхимын дээд </w:t>
      </w:r>
      <w:r>
        <w:rPr>
          <w:rFonts w:cs="Arial"/>
          <w:sz w:val="24"/>
          <w:szCs w:val="24"/>
          <w:effect w:val="blinkBackground"/>
          <w:lang w:val="mn-MN"/>
        </w:rPr>
        <w:t>лоожинд</w:t>
      </w:r>
      <w:r>
        <w:rPr>
          <w:rFonts w:cs="Arial"/>
          <w:sz w:val="24"/>
          <w:szCs w:val="24"/>
          <w:lang w:val="mn-MN"/>
        </w:rPr>
        <w:t xml:space="preserve"> суусан байлаа. </w:t>
      </w:r>
    </w:p>
    <w:p>
      <w:pPr>
        <w:pStyle w:val="style31"/>
        <w:tabs>
          <w:tab w:leader="none" w:pos="506" w:val="left"/>
          <w:tab w:leader="none" w:pos="563" w:val="left"/>
        </w:tabs>
        <w:jc w:val="both"/>
      </w:pPr>
      <w:r>
        <w:rPr>
          <w:rFonts w:cs="Arial" w:eastAsia="Calibri"/>
          <w:sz w:val="24"/>
          <w:szCs w:val="24"/>
        </w:rPr>
        <w:tab/>
        <w:t xml:space="preserve">Хэвлэл, мэдээллийн </w:t>
      </w:r>
      <w:r>
        <w:rPr>
          <w:rFonts w:cs="Arial" w:eastAsia="Calibri"/>
          <w:sz w:val="24"/>
          <w:szCs w:val="24"/>
          <w:lang w:val="mn-MN"/>
        </w:rPr>
        <w:t xml:space="preserve">байгууллагын </w:t>
      </w:r>
      <w:r>
        <w:rPr>
          <w:rFonts w:cs="Arial" w:eastAsia="Calibri"/>
          <w:sz w:val="24"/>
          <w:szCs w:val="24"/>
        </w:rPr>
        <w:t>сурвалжлагч</w:t>
      </w:r>
      <w:r>
        <w:rPr>
          <w:rFonts w:cs="Arial"/>
          <w:sz w:val="24"/>
          <w:szCs w:val="24"/>
          <w:lang w:val="mn-MN"/>
        </w:rPr>
        <w:t xml:space="preserve">, сэтгүүлч, </w:t>
      </w:r>
      <w:r>
        <w:rPr>
          <w:rFonts w:cs="Arial" w:eastAsia="Calibri"/>
          <w:sz w:val="24"/>
          <w:szCs w:val="24"/>
        </w:rPr>
        <w:t>зураглаач</w:t>
      </w:r>
      <w:r>
        <w:rPr>
          <w:rFonts w:cs="Arial"/>
          <w:sz w:val="24"/>
          <w:szCs w:val="24"/>
          <w:lang w:val="mn-MN"/>
        </w:rPr>
        <w:t>ид</w:t>
      </w:r>
      <w:r>
        <w:rPr>
          <w:rFonts w:cs="Arial" w:eastAsia="Calibri"/>
          <w:sz w:val="24"/>
          <w:szCs w:val="24"/>
        </w:rPr>
        <w:t xml:space="preserve"> </w:t>
      </w:r>
      <w:r>
        <w:rPr>
          <w:rFonts w:cs="Arial" w:eastAsia="Calibri"/>
          <w:sz w:val="24"/>
          <w:szCs w:val="24"/>
          <w:lang w:val="mn-MN"/>
        </w:rPr>
        <w:t>зориулалтын байрлалд</w:t>
      </w:r>
      <w:r>
        <w:rPr>
          <w:rFonts w:cs="Arial" w:eastAsia="Calibri"/>
          <w:sz w:val="24"/>
          <w:szCs w:val="24"/>
        </w:rPr>
        <w:t xml:space="preserve"> зогсож үйл ажиллагаагаа явуулав. </w:t>
      </w:r>
    </w:p>
    <w:p>
      <w:pPr>
        <w:pStyle w:val="style31"/>
        <w:tabs>
          <w:tab w:leader="none" w:pos="459" w:val="left"/>
          <w:tab w:leader="none" w:pos="713" w:val="left"/>
        </w:tabs>
        <w:spacing w:line="100" w:lineRule="atLeast"/>
        <w:jc w:val="both"/>
      </w:pPr>
      <w:r>
        <w:rPr>
          <w:rFonts w:cs="Arial" w:eastAsia="Calibri"/>
          <w:sz w:val="24"/>
          <w:szCs w:val="24"/>
          <w:lang w:val="mn-MN"/>
        </w:rPr>
        <w:tab/>
      </w:r>
      <w:r>
        <w:rPr>
          <w:rFonts w:cs="Arial" w:eastAsia="Calibri"/>
          <w:sz w:val="23"/>
          <w:szCs w:val="23"/>
          <w:lang w:val="mn-MN"/>
        </w:rPr>
        <w:t xml:space="preserve">Улсын Их Хурлын дарга </w:t>
      </w:r>
      <w:r>
        <w:rPr>
          <w:rFonts w:cs="Arial" w:eastAsia="Calibri"/>
          <w:sz w:val="23"/>
          <w:szCs w:val="23"/>
          <w:effect w:val="blinkBackground"/>
          <w:lang w:val="mn-MN"/>
        </w:rPr>
        <w:t>З</w:t>
      </w:r>
      <w:r>
        <w:rPr>
          <w:rFonts w:cs="Arial" w:eastAsia="Calibri"/>
          <w:sz w:val="23"/>
          <w:szCs w:val="23"/>
          <w:lang w:val="mn-MN"/>
        </w:rPr>
        <w:t xml:space="preserve">.Энхболд Улсын Их Хурлын 2013 оны намрын ээлжит </w:t>
      </w:r>
    </w:p>
    <w:p>
      <w:pPr>
        <w:pStyle w:val="style31"/>
        <w:spacing w:line="100" w:lineRule="atLeast"/>
        <w:jc w:val="both"/>
      </w:pPr>
      <w:r>
        <w:rPr>
          <w:rFonts w:cs="Arial" w:eastAsia="Calibri"/>
          <w:sz w:val="24"/>
          <w:szCs w:val="24"/>
          <w:lang w:val="mn-MN"/>
        </w:rPr>
        <w:t>чуулганы ажиллагаа</w:t>
      </w:r>
      <w:r>
        <w:rPr>
          <w:rFonts w:cs="Arial"/>
          <w:sz w:val="24"/>
          <w:szCs w:val="24"/>
          <w:lang w:val="mn-MN"/>
        </w:rPr>
        <w:t>г нээж үг хэлсний дараа</w:t>
      </w:r>
      <w:r>
        <w:rPr>
          <w:rFonts w:cs="Arial" w:eastAsia="Calibri"/>
          <w:sz w:val="24"/>
          <w:szCs w:val="24"/>
          <w:lang w:val="mn-MN"/>
        </w:rPr>
        <w:t xml:space="preserve"> танхимд Төрийн дуулал эгшиглэхэд Улсын Их Хурлын гишүүд болон нээлтийн ажиллагаанд урилгаар оролцогсод </w:t>
      </w:r>
      <w:r>
        <w:rPr>
          <w:rFonts w:cs="Arial" w:eastAsia="Calibri"/>
          <w:sz w:val="24"/>
          <w:szCs w:val="24"/>
          <w:effect w:val="blinkBackground"/>
          <w:lang w:val="mn-MN"/>
        </w:rPr>
        <w:t>босч</w:t>
      </w:r>
      <w:r>
        <w:rPr>
          <w:rFonts w:cs="Arial" w:eastAsia="Calibri"/>
          <w:sz w:val="24"/>
          <w:szCs w:val="24"/>
          <w:lang w:val="mn-MN"/>
        </w:rPr>
        <w:t xml:space="preserve"> хүндэтгэл үзүүлэв.</w:t>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
    </w:p>
    <w:p>
      <w:pPr>
        <w:pStyle w:val="style31"/>
        <w:spacing w:after="0" w:before="0" w:line="100" w:lineRule="atLeast"/>
        <w:ind w:firstLine="57" w:left="-57" w:right="-113"/>
        <w:contextualSpacing w:val="false"/>
        <w:jc w:val="center"/>
      </w:pPr>
      <w:r>
        <w:rPr>
          <w:rFonts w:cs="Arial"/>
          <w:b/>
          <w:sz w:val="24"/>
          <w:szCs w:val="24"/>
          <w:lang w:val="mn-MN"/>
        </w:rPr>
        <w:t>МОНГОЛ УЛСЫН ИХ ХУРЛЫН</w:t>
      </w:r>
    </w:p>
    <w:p>
      <w:pPr>
        <w:pStyle w:val="style0"/>
        <w:spacing w:after="0" w:before="0" w:line="100" w:lineRule="atLeast"/>
        <w:ind w:firstLine="57" w:left="-57" w:right="-113"/>
        <w:contextualSpacing w:val="false"/>
        <w:jc w:val="center"/>
      </w:pPr>
      <w:r>
        <w:rPr>
          <w:rFonts w:cs="Arial"/>
          <w:b/>
          <w:bCs/>
          <w:sz w:val="24"/>
          <w:szCs w:val="24"/>
          <w:lang w:val="mn-MN"/>
        </w:rPr>
        <w:t xml:space="preserve">2013 ОНЫ НАМРЫН </w:t>
      </w:r>
      <w:r>
        <w:rPr>
          <w:rFonts w:cs="Arial"/>
          <w:b/>
          <w:sz w:val="24"/>
          <w:szCs w:val="24"/>
          <w:lang w:val="mn-MN"/>
        </w:rPr>
        <w:t xml:space="preserve">ЭЭЛЖИТ </w:t>
      </w:r>
      <w:r>
        <w:rPr>
          <w:rFonts w:cs="Arial"/>
          <w:b/>
          <w:bCs/>
          <w:sz w:val="24"/>
          <w:szCs w:val="24"/>
        </w:rPr>
        <w:t>ЧУУЛГАНЫ</w:t>
      </w:r>
      <w:r>
        <w:rPr>
          <w:rFonts w:cs="Arial"/>
          <w:b/>
          <w:bCs/>
          <w:sz w:val="24"/>
          <w:szCs w:val="24"/>
          <w:lang w:val="mn-MN"/>
        </w:rPr>
        <w:t xml:space="preserve"> 10 ДУГААР</w:t>
      </w:r>
    </w:p>
    <w:p>
      <w:pPr>
        <w:pStyle w:val="style0"/>
        <w:spacing w:after="0" w:before="0" w:line="100" w:lineRule="atLeast"/>
        <w:ind w:firstLine="17" w:left="0" w:right="0"/>
        <w:contextualSpacing w:val="false"/>
        <w:jc w:val="center"/>
      </w:pPr>
      <w:r>
        <w:rPr>
          <w:rFonts w:cs="Arial"/>
          <w:b/>
          <w:bCs/>
          <w:sz w:val="24"/>
          <w:szCs w:val="24"/>
        </w:rPr>
        <w:t>САРЫН</w:t>
      </w:r>
      <w:r>
        <w:rPr>
          <w:rFonts w:cs="Arial"/>
          <w:b/>
          <w:bCs/>
          <w:sz w:val="24"/>
          <w:szCs w:val="24"/>
          <w:lang w:val="mn-MN"/>
        </w:rPr>
        <w:t xml:space="preserve"> 01-НИЙ</w:t>
      </w:r>
      <w:r>
        <w:rPr>
          <w:rFonts w:cs="Arial"/>
          <w:b/>
          <w:bCs/>
          <w:sz w:val="24"/>
          <w:szCs w:val="24"/>
        </w:rPr>
        <w:t xml:space="preserve"> ӨДӨР (</w:t>
      </w:r>
      <w:r>
        <w:rPr>
          <w:rFonts w:cs="Arial"/>
          <w:b/>
          <w:bCs/>
          <w:sz w:val="24"/>
          <w:szCs w:val="24"/>
          <w:lang w:val="mn-MN"/>
        </w:rPr>
        <w:t>МЯГМАР</w:t>
      </w:r>
      <w:r>
        <w:rPr>
          <w:rFonts w:cs="Arial"/>
          <w:b/>
          <w:bCs/>
          <w:sz w:val="24"/>
          <w:szCs w:val="24"/>
        </w:rPr>
        <w:t xml:space="preserve"> </w:t>
      </w:r>
      <w:r>
        <w:rPr>
          <w:rFonts w:cs="Arial"/>
          <w:b/>
          <w:bCs/>
          <w:sz w:val="24"/>
          <w:szCs w:val="24"/>
          <w:lang w:val="mn-MN"/>
        </w:rPr>
        <w:t>ГАРАГ</w:t>
      </w:r>
      <w:r>
        <w:rPr>
          <w:rFonts w:cs="Arial"/>
          <w:b/>
          <w:bCs/>
          <w:sz w:val="24"/>
          <w:szCs w:val="24"/>
        </w:rPr>
        <w:t>) -ИЙН НЭГДСЭН</w:t>
      </w:r>
    </w:p>
    <w:p>
      <w:pPr>
        <w:pStyle w:val="style0"/>
        <w:spacing w:after="0" w:before="0" w:line="100" w:lineRule="atLeast"/>
        <w:ind w:hanging="720" w:left="0" w:right="0"/>
        <w:contextualSpacing w:val="false"/>
        <w:jc w:val="center"/>
      </w:pPr>
      <w:r>
        <w:rPr>
          <w:rFonts w:cs="Arial"/>
          <w:b/>
          <w:bCs/>
          <w:sz w:val="24"/>
          <w:szCs w:val="24"/>
        </w:rPr>
        <w:t>ХУРАЛДААНЫ ДЭЛГЭРЭНГҮЙ</w:t>
      </w:r>
    </w:p>
    <w:p>
      <w:pPr>
        <w:pStyle w:val="style0"/>
        <w:spacing w:after="0" w:before="0" w:line="100" w:lineRule="atLeast"/>
        <w:ind w:hanging="720" w:left="0" w:right="0"/>
        <w:contextualSpacing w:val="false"/>
        <w:jc w:val="center"/>
      </w:pPr>
      <w:r>
        <w:rPr>
          <w:rFonts w:cs="Arial"/>
          <w:b/>
          <w:sz w:val="24"/>
          <w:szCs w:val="24"/>
        </w:rPr>
        <w:t>ТЭМДЭГЛЭЛ</w:t>
      </w:r>
    </w:p>
    <w:p>
      <w:pPr>
        <w:pStyle w:val="style0"/>
        <w:spacing w:after="0" w:before="0" w:line="100" w:lineRule="atLeast"/>
        <w:ind w:hanging="720" w:left="0" w:right="0"/>
        <w:contextualSpacing w:val="false"/>
        <w:jc w:val="center"/>
      </w:pPr>
      <w:r>
        <w:rPr/>
      </w:r>
    </w:p>
    <w:p>
      <w:pPr>
        <w:pStyle w:val="style31"/>
        <w:spacing w:line="100" w:lineRule="atLeast"/>
        <w:jc w:val="both"/>
      </w:pPr>
      <w:r>
        <w:rPr>
          <w:rFonts w:cs="Arial"/>
          <w:sz w:val="24"/>
          <w:szCs w:val="24"/>
          <w:lang w:val="mn-MN"/>
        </w:rPr>
        <w:tab/>
      </w:r>
      <w:r>
        <w:rPr>
          <w:rFonts w:cs="Arial"/>
          <w:b/>
          <w:sz w:val="24"/>
          <w:szCs w:val="24"/>
          <w:lang w:val="mn-MN"/>
        </w:rPr>
        <w:t>З.Энхболд:</w:t>
      </w:r>
      <w:r>
        <w:rPr>
          <w:rFonts w:cs="Arial"/>
          <w:sz w:val="24"/>
          <w:szCs w:val="24"/>
          <w:lang w:val="mn-MN"/>
        </w:rPr>
        <w:t xml:space="preserve"> -</w:t>
      </w:r>
      <w:r>
        <w:rPr>
          <w:rFonts w:cs="Arial"/>
          <w:sz w:val="24"/>
          <w:szCs w:val="24"/>
          <w:lang w:val="en-US"/>
        </w:rPr>
        <w:t xml:space="preserve"> </w:t>
      </w:r>
      <w:r>
        <w:rPr>
          <w:rFonts w:cs="Arial"/>
          <w:sz w:val="24"/>
          <w:szCs w:val="24"/>
          <w:lang w:val="mn-MN"/>
        </w:rPr>
        <w:t xml:space="preserve">Гишүүдэд, хүндэт зочдод өглөөний мэнд хүргэе. Суудалдаа сууцгаана уу. </w:t>
      </w:r>
    </w:p>
    <w:p>
      <w:pPr>
        <w:pStyle w:val="style31"/>
        <w:spacing w:line="100" w:lineRule="atLeast"/>
        <w:jc w:val="both"/>
      </w:pPr>
      <w:r>
        <w:rPr>
          <w:rFonts w:cs="Arial"/>
          <w:sz w:val="24"/>
          <w:szCs w:val="24"/>
          <w:lang w:val="mn-MN"/>
        </w:rPr>
        <w:tab/>
        <w:t>Улсын Их Хурлын 2013 оны намрын ээлжит чуулганы нээлтийн хуралдаанд ирвэл зохих 73 гишүүн, өвчтэй, чөлөөтэй гурван гишүүнийг хасаад байна. 48 гишүүн хүрэлцэн ирж 63.2 хувийн ирцтэй байгаа учраас нээснийг мэдэгдье.</w:t>
      </w:r>
    </w:p>
    <w:p>
      <w:pPr>
        <w:pStyle w:val="style31"/>
        <w:spacing w:line="100" w:lineRule="atLeast"/>
        <w:jc w:val="both"/>
      </w:pPr>
      <w:r>
        <w:rPr>
          <w:rFonts w:cs="Arial"/>
          <w:sz w:val="24"/>
          <w:szCs w:val="24"/>
          <w:lang w:val="mn-MN"/>
        </w:rPr>
        <w:tab/>
        <w:t xml:space="preserve">Монгол Улсын Ерөнхий сайд аа, </w:t>
      </w:r>
    </w:p>
    <w:p>
      <w:pPr>
        <w:pStyle w:val="style31"/>
        <w:spacing w:line="100" w:lineRule="atLeast"/>
        <w:jc w:val="both"/>
      </w:pPr>
      <w:r>
        <w:rPr>
          <w:rFonts w:cs="Arial"/>
          <w:sz w:val="24"/>
          <w:szCs w:val="24"/>
          <w:lang w:val="mn-MN"/>
        </w:rPr>
        <w:tab/>
        <w:t>Улсын Их Хурлын эрхэм гишүүд ээ,</w:t>
      </w:r>
    </w:p>
    <w:p>
      <w:pPr>
        <w:pStyle w:val="style31"/>
        <w:spacing w:line="100" w:lineRule="atLeast"/>
        <w:jc w:val="both"/>
      </w:pPr>
      <w:r>
        <w:rPr>
          <w:rFonts w:cs="Arial"/>
          <w:sz w:val="24"/>
          <w:szCs w:val="24"/>
          <w:lang w:val="mn-MN"/>
        </w:rPr>
        <w:tab/>
        <w:t xml:space="preserve">Хүндэт зочид оо, </w:t>
      </w:r>
    </w:p>
    <w:p>
      <w:pPr>
        <w:pStyle w:val="style31"/>
        <w:spacing w:line="100" w:lineRule="atLeast"/>
        <w:jc w:val="both"/>
      </w:pPr>
      <w:r>
        <w:rPr>
          <w:rFonts w:cs="Arial"/>
          <w:sz w:val="24"/>
          <w:szCs w:val="24"/>
          <w:lang w:val="mn-MN"/>
        </w:rPr>
        <w:tab/>
        <w:t>Хатагтай ноёд оо,</w:t>
      </w:r>
    </w:p>
    <w:p>
      <w:pPr>
        <w:pStyle w:val="style31"/>
        <w:spacing w:line="100" w:lineRule="atLeast"/>
        <w:jc w:val="both"/>
      </w:pPr>
      <w:r>
        <w:rPr>
          <w:rFonts w:cs="Arial"/>
          <w:sz w:val="24"/>
          <w:szCs w:val="24"/>
          <w:lang w:val="mn-MN"/>
        </w:rPr>
        <w:tab/>
        <w:t>Хаврын чуулганы завсарлагааны хугацаанд Улсын Их Хурлын гишүүд хөдөө орон нутагт ажиллан Улсын Их Хурлын чуулганаар батлагдсан хууль тогтоолыг сурталчилж, хэрэгжилтийн байдалтай танилцан, цаашид хэлэлцэх хуулийн төслүүдийн талаар ард иргэдийн санал бодлыг сонсож, өвөлжилтийн бэлтгэл, намрын ургац хураалтын явцтай биечлэн танилцсан байна.</w:t>
      </w:r>
    </w:p>
    <w:p>
      <w:pPr>
        <w:pStyle w:val="style31"/>
        <w:spacing w:line="100" w:lineRule="atLeast"/>
        <w:jc w:val="both"/>
      </w:pPr>
      <w:r>
        <w:rPr>
          <w:rFonts w:cs="Arial"/>
          <w:sz w:val="24"/>
          <w:szCs w:val="24"/>
          <w:lang w:val="mn-MN"/>
        </w:rPr>
        <w:tab/>
        <w:t>Баянзүрх, Хан-Уул дүүрэг дэх гэр хорооллын дахин төлөвлөлт, орон сууцны зарим хорооллын барилгажуулалтын ажлын явцтай танилцахад барилгын компаниуд болон барилгын материал үйлдвэрлэгчдэд төрөөс үзүүлсэн дэмжлэг тодорхой хэмжээнд үр дүнд хүрч байгаа нь харагдаж байна.</w:t>
      </w:r>
    </w:p>
    <w:p>
      <w:pPr>
        <w:pStyle w:val="style31"/>
        <w:spacing w:line="100" w:lineRule="atLeast"/>
        <w:jc w:val="both"/>
      </w:pPr>
      <w:r>
        <w:rPr>
          <w:rFonts w:cs="Arial"/>
          <w:sz w:val="24"/>
          <w:szCs w:val="24"/>
          <w:lang w:val="mn-MN"/>
        </w:rPr>
        <w:tab/>
        <w:t>Өнгөрсөн сард Өмнөговь аймгийн “Эрдэнэс-Тавантолгой”, “Энержи ресурс”, Нарийн сухайтын нүүрсний уурхай болон Шивээ хүрэнгийн боомтын үйл ажиллагаатай танилцлаа. Үндэсний уул уурхайн компаниуд ихээхэн хэмжээний хөрөнгө оруулалт хийж цахилгаан станц, авто зам, нүүрс угаах үйлдвэр, сургуулийн барилгыг ашиглалтад оруулснаар хөдөө орон нутагт уурхай дагасан хөгжил бий болж байна. Гэхдээ нүүрс тээвэрлэлтийн хүндрэл, давхацсан татвар хураамжууд нь нүүрсний үнэ унасан өнөөгийн нөхцөлд Монголын нүүрсийг өрсөлдөх чадваргүй болгосноор экспортоо хязгаарлаж байгаа тухай ярьж байна. Улсын Их Хурал эрдэс баялгийн бодлогоо боловсруулахдаа энэ бүхнийг тооцож шийдвэрээ гаргах нь зүйтэй.</w:t>
      </w:r>
    </w:p>
    <w:p>
      <w:pPr>
        <w:pStyle w:val="style31"/>
        <w:spacing w:line="100" w:lineRule="atLeast"/>
        <w:jc w:val="both"/>
      </w:pPr>
      <w:r>
        <w:rPr>
          <w:rFonts w:cs="Arial"/>
          <w:sz w:val="24"/>
          <w:szCs w:val="24"/>
          <w:lang w:val="mn-MN"/>
        </w:rPr>
        <w:tab/>
        <w:t>Улсын Их Хурлын чуулганы завсарлагааны хугацаанд манай улсад албан ёсны айлчлал хийсэн Бүгд Найрамдах Белорусс Улсын Ерөнхий сайд М.В Мясникович, Бүгд Найрамдах Солонгос Улсын Үндэсний Ассамблейн дарга эрхэмсэг ноён Кан Чан Хии болон Япон, Франц, Тайланд Улсын төлөөлөгчдийг хүлээн авч уулзлаа. Уулзалтын явцад Монгол Улсын уул уурхай, дэд бүтэц зэрэг бүтээн байгуулалтын томоохон төсөл, хөтөлбөрт хөрөнгө оруулалт хийх, техник технологи, хүний нөөц, менежментийн чиглэлээр харилцан ашигтай хамтын ажиллагааг хөгжүүлэх, иргэдийн зорчих нөхцөлийг хөнгөвчлөх зэрэг асуудлаар санал солилцлоо.</w:t>
      </w:r>
    </w:p>
    <w:p>
      <w:pPr>
        <w:pStyle w:val="style31"/>
        <w:spacing w:line="100" w:lineRule="atLeast"/>
        <w:jc w:val="both"/>
      </w:pPr>
      <w:r>
        <w:rPr>
          <w:rFonts w:cs="Arial"/>
          <w:sz w:val="24"/>
          <w:szCs w:val="24"/>
          <w:lang w:val="mn-MN"/>
        </w:rPr>
        <w:tab/>
        <w:t xml:space="preserve">9 дүгээр сард Азийн бүс нутгийг төлөөлж Монгол Улсад анх удаа дэлхийн 15 орны төлөөлөгчид оролцсон "Төрийн албаны мерит тогтолцоо, туршлага сургамж, сорилт боломж" сэдэвт олон улсын Төрийн албаны төв байгууллагын удирдлагын бага хурал болж өнгөрлөө. Энэ бага хурлын үеэр олон орны төрийн албаны төв байгууллагын удирдлага, зохион байгуулалттай танилцаж, туршлага солилцсон нь манай улсын төрийн албаны шинэтгэлийн стратегийг тодорхойлоход чухал ач холбогдолтой арга хэмжээ болсон гэж үзэж </w:t>
      </w:r>
    </w:p>
    <w:p>
      <w:pPr>
        <w:pStyle w:val="style31"/>
        <w:spacing w:line="100" w:lineRule="atLeast"/>
        <w:jc w:val="both"/>
      </w:pPr>
      <w:r>
        <w:rPr>
          <w:rFonts w:cs="Arial"/>
          <w:sz w:val="24"/>
          <w:szCs w:val="24"/>
          <w:lang w:val="mn-MN"/>
        </w:rPr>
        <w:tab/>
        <w:t>Улсын Их Хурлын эрхэм гишүүд ээ,</w:t>
      </w:r>
    </w:p>
    <w:p>
      <w:pPr>
        <w:pStyle w:val="style31"/>
        <w:spacing w:line="100" w:lineRule="atLeast"/>
        <w:jc w:val="both"/>
      </w:pPr>
      <w:r>
        <w:rPr>
          <w:rFonts w:cs="Arial"/>
          <w:sz w:val="24"/>
          <w:szCs w:val="24"/>
          <w:lang w:val="mn-MN"/>
        </w:rPr>
        <w:tab/>
        <w:t>Намрын чуулганаар 2014 оны Монгол Улсын төсөв, хүний хөгжил сангийн болон нийгмийн даатгалын сангийн төсөв, төрөөс мөнгөний талаар баримтлах үндсэн чиглэлийг хэлэлцэж батална. 2013 оны төсвийн орлогыг хэт өндөр, өөдрөгөөр тавьж баталснаас орлого, зарлагын тэнцвэр алдагдаж энэ удаагийн чуулганаар 2013 оны төсөвт тодотгол хийх зайлшгүй шаардлага гарч байна.</w:t>
      </w:r>
    </w:p>
    <w:p>
      <w:pPr>
        <w:pStyle w:val="style31"/>
        <w:spacing w:line="100" w:lineRule="atLeast"/>
        <w:jc w:val="both"/>
      </w:pPr>
      <w:r>
        <w:rPr>
          <w:rFonts w:cs="Arial"/>
          <w:sz w:val="24"/>
          <w:szCs w:val="24"/>
          <w:lang w:val="mn-MN"/>
        </w:rPr>
        <w:tab/>
        <w:t>Тиймээс Төсвийн тогтвортой байдлын тухай хуулийг мөрдлөг болгож 2014 оны төсвийг улс орны нийгэм, эдийн засгийн хүрээнд үүссэн нөхцөл байдалтай нягт уялдуулан нухацтай хэлэлцэж батлах нь Та бидний эрхэм зорилт болж байна.</w:t>
        <w:br/>
        <w:br/>
        <w:t>Энэ удаагийн чуулганаар Шүүх байгуулах тухай, Хилийн боомтын тухай, Төрийн аудитын тухай, Иргэний эрүүл мэндийн даатгалын тухай, Газрын тосны тухай, Газрын тухай багц хуулиудын шинэчилсэн найруулга, Ногоон хөгжлийн үзэл баримтлал, дунд хугацааны хөтөлбөр батлах тухай, Төрөөс эрдэс баялгийн салбарт баримтлах бодлого батлах тухай тогтоолын төслүүд болон хаврын чуулганаар хэлэлцэж эхэлсэн бусад хууль тогтоомжийг үргэлжлүүлэн хэлэлцэж батлах болно.</w:t>
      </w:r>
    </w:p>
    <w:p>
      <w:pPr>
        <w:pStyle w:val="style31"/>
        <w:spacing w:line="100" w:lineRule="atLeast"/>
        <w:jc w:val="both"/>
      </w:pPr>
      <w:r>
        <w:rPr>
          <w:rFonts w:cs="Arial"/>
          <w:sz w:val="24"/>
          <w:szCs w:val="24"/>
          <w:lang w:val="mn-MN"/>
        </w:rPr>
        <w:tab/>
        <w:t xml:space="preserve">Хэдхэн хоногийн өмнө Улсын Их Хурлын ээлжит бус чуулганаар хэлэлцэж эцсийн хэлэлцүүлэгт шилжүүлсэн Хөрөнгө оруулалтын тухай, Хөрөнгө оруулалтын сангийн тухай хууль болон бусад эрдэс баялаг, уул уурхайн холбогдолтой хуулийг  хуульд нэмэлт, өөрчлөлт оруулах тухай хуулиудын хамт яаралтай баталж гаргах нь чухал ач холбогдолтой гэж үзэж байна. </w:t>
      </w:r>
    </w:p>
    <w:p>
      <w:pPr>
        <w:pStyle w:val="style31"/>
        <w:spacing w:line="100" w:lineRule="atLeast"/>
        <w:jc w:val="both"/>
      </w:pPr>
      <w:r>
        <w:rPr>
          <w:rFonts w:cs="Arial"/>
          <w:sz w:val="24"/>
          <w:szCs w:val="24"/>
          <w:lang w:val="mn-MN"/>
        </w:rPr>
        <w:tab/>
        <w:t>Эрхэм гишүүд ээ,</w:t>
      </w:r>
    </w:p>
    <w:p>
      <w:pPr>
        <w:pStyle w:val="style31"/>
        <w:spacing w:line="100" w:lineRule="atLeast"/>
        <w:jc w:val="both"/>
      </w:pPr>
      <w:r>
        <w:rPr>
          <w:rFonts w:cs="Arial"/>
          <w:sz w:val="24"/>
          <w:szCs w:val="24"/>
          <w:lang w:val="mn-MN"/>
        </w:rPr>
        <w:tab/>
        <w:t>Намрын чуулганаар улсын төсөв, мөнгөний бодлогыг тусгай дэгийн дагуу тодорхой хугацаанд хэлэлцдэг хуультай. Тийм учраас цаг хугацааг бүрэн дүүрэн ашиглаж, нам, эвслийн бүлгүүд санал дүгнэлтээ гаргаж, Байнгын хороод хэлэлцэх асуудлын төлөвлөгөөнд тусгагдсан өөрт хамааралтай хуулиудыг төлөвлөгдсөн хугацаанд нь хэлэлцэж нэгдсэн чуулганаар батлуулахын төлөө шамдан ажиллана гэдэгт итгэж байна.</w:t>
      </w:r>
    </w:p>
    <w:p>
      <w:pPr>
        <w:pStyle w:val="style31"/>
        <w:spacing w:line="100" w:lineRule="atLeast"/>
        <w:jc w:val="both"/>
      </w:pPr>
      <w:r>
        <w:rPr>
          <w:rFonts w:cs="Arial"/>
          <w:sz w:val="24"/>
          <w:szCs w:val="24"/>
          <w:lang w:val="mn-MN"/>
        </w:rPr>
        <w:tab/>
        <w:t xml:space="preserve">Та бүхэнд ажлын амжилт хүсч, Улсын Их Хурлын 2013 оны намрын ээлжит чуулганы ажиллагааг нээснийг мэдэгдье /Төрийн дуулал эгшиглэв/. </w:t>
      </w:r>
    </w:p>
    <w:p>
      <w:pPr>
        <w:pStyle w:val="style31"/>
        <w:spacing w:line="100" w:lineRule="atLeast"/>
        <w:jc w:val="both"/>
      </w:pPr>
      <w:r>
        <w:rPr/>
      </w:r>
    </w:p>
    <w:p>
      <w:pPr>
        <w:pStyle w:val="style0"/>
        <w:spacing w:after="0" w:before="0" w:line="100" w:lineRule="atLeast"/>
        <w:contextualSpacing w:val="false"/>
      </w:pPr>
      <w:r>
        <w:rPr/>
      </w:r>
    </w:p>
    <w:p>
      <w:pPr>
        <w:pStyle w:val="style0"/>
        <w:spacing w:after="0" w:before="0" w:line="100" w:lineRule="atLeast"/>
        <w:contextualSpacing w:val="false"/>
      </w:pPr>
      <w:r>
        <w:rPr>
          <w:rFonts w:cs="Arial"/>
          <w:b/>
          <w:bCs/>
          <w:i/>
          <w:iCs/>
          <w:lang w:val="mn-MN"/>
        </w:rPr>
        <w:tab/>
        <w:t>Тэмдэглэл хөтөлсөн:</w:t>
      </w:r>
    </w:p>
    <w:p>
      <w:pPr>
        <w:pStyle w:val="style0"/>
        <w:spacing w:after="0" w:before="0" w:line="100" w:lineRule="atLeast"/>
        <w:contextualSpacing w:val="false"/>
      </w:pPr>
      <w:r>
        <w:rPr>
          <w:rFonts w:cs="Arial"/>
          <w:b w:val="false"/>
          <w:bCs w:val="false"/>
          <w:i w:val="false"/>
          <w:iCs w:val="false"/>
          <w:lang w:val="mn-MN"/>
        </w:rPr>
        <w:tab/>
        <w:t xml:space="preserve">ПРОТОКОЛЫН АЛБАНЫ </w:t>
      </w:r>
    </w:p>
    <w:p>
      <w:pPr>
        <w:pStyle w:val="style0"/>
        <w:spacing w:after="0" w:before="0" w:line="100" w:lineRule="atLeast"/>
        <w:contextualSpacing w:val="false"/>
      </w:pPr>
      <w:r>
        <w:rPr>
          <w:rFonts w:cs="Arial" w:eastAsia="Times New Roman"/>
          <w:b w:val="false"/>
          <w:bCs w:val="false"/>
          <w:i w:val="false"/>
          <w:iCs w:val="false"/>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0"/>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5" w:type="character">
    <w:name w:val="ListLabel 6"/>
    <w:next w:val="style15"/>
    <w:rPr>
      <w:b w:val="false"/>
      <w:i w:val="false"/>
    </w:rPr>
  </w:style>
  <w:style w:styleId="style16" w:type="character">
    <w:name w:val="ListLabel 5"/>
    <w:next w:val="style16"/>
    <w:rPr>
      <w:b/>
    </w:rPr>
  </w:style>
  <w:style w:styleId="style17" w:type="character">
    <w:name w:val="Endnote anchor"/>
    <w:next w:val="style17"/>
    <w:rPr>
      <w:vertAlign w:val="superscript"/>
    </w:rPr>
  </w:style>
  <w:style w:styleId="style18" w:type="character">
    <w:name w:val="ListLabel 4"/>
    <w:next w:val="style18"/>
    <w:rPr>
      <w:rFonts w:eastAsia="Calibri"/>
    </w:rPr>
  </w:style>
  <w:style w:styleId="style19" w:type="character">
    <w:name w:val="ListLabel 3"/>
    <w:next w:val="style19"/>
    <w:rPr>
      <w:b w:val="false"/>
      <w:i w:val="false"/>
    </w:rPr>
  </w:style>
  <w:style w:styleId="style20" w:type="character">
    <w:name w:val="long_text"/>
    <w:next w:val="style20"/>
    <w:rPr/>
  </w:style>
  <w:style w:styleId="style21" w:type="character">
    <w:name w:val="Intense Emphasis1"/>
    <w:next w:val="style21"/>
    <w:rPr>
      <w:b/>
      <w:bCs/>
      <w:i/>
      <w:iCs/>
      <w:color w:val="4F81BD"/>
    </w:rPr>
  </w:style>
  <w:style w:styleId="style22" w:type="character">
    <w:name w:val="ListLabel 2"/>
    <w:next w:val="style22"/>
    <w:rPr>
      <w:b/>
    </w:rPr>
  </w:style>
  <w:style w:styleId="style23" w:type="character">
    <w:name w:val="ListLabel 1"/>
    <w:next w:val="style23"/>
    <w:rPr>
      <w:rFonts w:cs="Arial" w:eastAsia="Calibri"/>
    </w:rPr>
  </w:style>
  <w:style w:styleId="style24" w:type="character">
    <w:name w:val="Footnote anchor"/>
    <w:next w:val="style24"/>
    <w:rPr>
      <w:vertAlign w:val="superscript"/>
    </w:rPr>
  </w:style>
  <w:style w:styleId="style25" w:type="character">
    <w:name w:val="footnote reference"/>
    <w:next w:val="style25"/>
    <w:rPr>
      <w:vertAlign w:val="superscript"/>
    </w:rPr>
  </w:style>
  <w:style w:styleId="style26" w:type="character">
    <w:name w:val="No Spacing Char"/>
    <w:next w:val="style26"/>
    <w:rPr>
      <w:sz w:val="24"/>
      <w:szCs w:val="22"/>
      <w:lang w:bidi="ar-SA" w:val="mn-MN"/>
    </w:rPr>
  </w:style>
  <w:style w:styleId="style27" w:type="character">
    <w:name w:val="Footer Char"/>
    <w:next w:val="style27"/>
    <w:rPr/>
  </w:style>
  <w:style w:styleId="style28" w:type="character">
    <w:name w:val="Header Char"/>
    <w:next w:val="style28"/>
    <w:rPr/>
  </w:style>
  <w:style w:styleId="style29" w:type="character">
    <w:name w:val="Default Paragraph Font"/>
    <w:next w:val="style29"/>
    <w:rPr/>
  </w:style>
  <w:style w:styleId="style30" w:type="paragraph">
    <w:name w:val="Heading"/>
    <w:basedOn w:val="style0"/>
    <w:next w:val="style31"/>
    <w:pPr>
      <w:keepNext/>
      <w:spacing w:after="120" w:before="240"/>
      <w:contextualSpacing w:val="false"/>
    </w:pPr>
    <w:rPr>
      <w:rFonts w:ascii="Arial" w:cs="Mangal" w:eastAsia="Microsoft YaHei" w:hAnsi="Arial"/>
      <w:sz w:val="28"/>
      <w:szCs w:val="28"/>
    </w:rPr>
  </w:style>
  <w:style w:styleId="style31" w:type="paragraph">
    <w:name w:val="Text body"/>
    <w:basedOn w:val="style0"/>
    <w:next w:val="style31"/>
    <w:pPr>
      <w:spacing w:after="120" w:before="0"/>
      <w:contextualSpacing w:val="false"/>
    </w:pPr>
    <w:rPr/>
  </w:style>
  <w:style w:styleId="style32" w:type="paragraph">
    <w:name w:val="List"/>
    <w:basedOn w:val="style31"/>
    <w:next w:val="style32"/>
    <w:pPr/>
    <w:rPr>
      <w:rFonts w:ascii="Arial" w:cs="Mangal" w:hAnsi="Arial"/>
    </w:rPr>
  </w:style>
  <w:style w:styleId="style33" w:type="paragraph">
    <w:name w:val="Caption"/>
    <w:basedOn w:val="style0"/>
    <w:next w:val="style33"/>
    <w:pPr>
      <w:suppressLineNumbers/>
      <w:spacing w:after="120" w:before="120"/>
      <w:contextualSpacing w:val="false"/>
    </w:pPr>
    <w:rPr>
      <w:rFonts w:ascii="Arial" w:cs="Mangal" w:hAnsi="Arial"/>
      <w:i/>
      <w:iCs/>
      <w:sz w:val="24"/>
      <w:szCs w:val="24"/>
    </w:rPr>
  </w:style>
  <w:style w:styleId="style34" w:type="paragraph">
    <w:name w:val="Index"/>
    <w:basedOn w:val="style0"/>
    <w:next w:val="style34"/>
    <w:pPr>
      <w:suppressLineNumbers/>
    </w:pPr>
    <w:rPr>
      <w:rFonts w:ascii="Arial" w:cs="Mangal" w:hAnsi="Arial"/>
    </w:rPr>
  </w:style>
  <w:style w:styleId="style35" w:type="paragraph">
    <w:name w:val="Text body indent"/>
    <w:basedOn w:val="style31"/>
    <w:next w:val="style35"/>
    <w:pPr>
      <w:spacing w:after="0" w:before="0"/>
      <w:ind w:hanging="0" w:left="283" w:right="0"/>
      <w:contextualSpacing w:val="false"/>
    </w:pPr>
    <w:rPr/>
  </w:style>
  <w:style w:styleId="style36" w:type="paragraph">
    <w:name w:val="ConsPlusNormal"/>
    <w:next w:val="style36"/>
    <w:pPr>
      <w:widowControl w:val="false"/>
      <w:tabs/>
      <w:suppressAutoHyphens w:val="true"/>
      <w:overflowPunct w:val="true"/>
      <w:spacing w:after="120" w:before="0" w:line="100" w:lineRule="atLeast"/>
      <w:ind w:firstLine="720" w:left="0" w:right="0"/>
      <w:contextualSpacing w:val="false"/>
      <w:jc w:val="both"/>
    </w:pPr>
    <w:rPr>
      <w:rFonts w:ascii="Arial" w:cs="Arial" w:eastAsia="Times New Roman" w:hAnsi="Arial"/>
      <w:color w:val="00000A"/>
      <w:sz w:val="20"/>
      <w:szCs w:val="20"/>
      <w:lang w:bidi="hi-IN" w:eastAsia="ar-SA" w:val="ru-RU"/>
    </w:rPr>
  </w:style>
  <w:style w:styleId="style37" w:type="paragraph">
    <w:name w:val="Plain Text"/>
    <w:basedOn w:val="style0"/>
    <w:next w:val="style37"/>
    <w:pPr>
      <w:spacing w:line="100" w:lineRule="atLeast"/>
    </w:pPr>
    <w:rPr>
      <w:rFonts w:ascii="Courier New" w:cs="Courier New" w:eastAsia="Times New Roman" w:hAnsi="Courier New"/>
      <w:sz w:val="20"/>
    </w:rPr>
  </w:style>
  <w:style w:styleId="style38" w:type="paragraph">
    <w:name w:val="First line indent"/>
    <w:basedOn w:val="style31"/>
    <w:next w:val="style38"/>
    <w:pPr>
      <w:spacing w:after="0" w:before="0"/>
      <w:ind w:firstLine="283" w:left="0" w:right="0"/>
      <w:contextualSpacing w:val="false"/>
    </w:pPr>
    <w:rPr/>
  </w:style>
  <w:style w:styleId="style39" w:type="paragraph">
    <w:name w:val="msg_head"/>
    <w:basedOn w:val="style0"/>
    <w:next w:val="style39"/>
    <w:pPr>
      <w:suppressAutoHyphens w:val="false"/>
      <w:spacing w:after="28" w:before="28" w:line="100" w:lineRule="atLeast"/>
      <w:contextualSpacing w:val="false"/>
    </w:pPr>
    <w:rPr>
      <w:rFonts w:ascii="Times New Roman" w:cs="Times New Roman" w:eastAsia="Times New Roman" w:hAnsi="Times New Roman"/>
      <w:sz w:val="24"/>
      <w:szCs w:val="24"/>
    </w:rPr>
  </w:style>
  <w:style w:styleId="style40" w:type="paragraph">
    <w:name w:val="Body Text 2"/>
    <w:basedOn w:val="style0"/>
    <w:next w:val="style40"/>
    <w:pPr>
      <w:spacing w:line="480" w:lineRule="auto"/>
    </w:pPr>
    <w:rPr/>
  </w:style>
  <w:style w:styleId="style41" w:type="paragraph">
    <w:name w:val="footnote text"/>
    <w:basedOn w:val="style0"/>
    <w:next w:val="style41"/>
    <w:pPr>
      <w:spacing w:line="100" w:lineRule="atLeast"/>
    </w:pPr>
    <w:rPr>
      <w:rFonts w:ascii="Arial" w:cs="Arial Mon" w:eastAsia="MS Mincho" w:hAnsi="Arial"/>
    </w:rPr>
  </w:style>
  <w:style w:styleId="style42" w:type="paragraph">
    <w:name w:val="Footnote"/>
    <w:basedOn w:val="style0"/>
    <w:next w:val="style42"/>
    <w:pPr>
      <w:suppressLineNumbers/>
      <w:spacing w:after="0" w:before="0"/>
      <w:ind w:hanging="339" w:left="339" w:right="0"/>
      <w:contextualSpacing w:val="false"/>
    </w:pPr>
    <w:rPr>
      <w:sz w:val="20"/>
      <w:szCs w:val="20"/>
    </w:rPr>
  </w:style>
  <w:style w:styleId="style43" w:type="paragraph">
    <w:name w:val="Hanging indent"/>
    <w:basedOn w:val="style31"/>
    <w:next w:val="style43"/>
    <w:pPr>
      <w:tabs>
        <w:tab w:leader="none" w:pos="14742" w:val="left"/>
      </w:tabs>
      <w:spacing w:after="0" w:before="0"/>
      <w:ind w:hanging="283" w:left="567" w:right="0"/>
      <w:contextualSpacing w:val="false"/>
    </w:pPr>
    <w:rPr/>
  </w:style>
  <w:style w:styleId="style44" w:type="paragraph">
    <w:name w:val="Default Style"/>
    <w:next w:val="style44"/>
    <w:pPr>
      <w:widowControl w:val="false"/>
      <w:tabs/>
      <w:suppressAutoHyphens w:val="true"/>
      <w:overflowPunct w:val="true"/>
      <w:spacing w:after="200" w:before="0" w:line="276" w:lineRule="auto"/>
      <w:contextualSpacing w:val="false"/>
    </w:pPr>
    <w:rPr>
      <w:rFonts w:ascii="Times New Roman" w:cs="Mangal" w:eastAsia="SimSun" w:hAnsi="Times New Roman"/>
      <w:color w:val="00000A"/>
      <w:sz w:val="24"/>
      <w:szCs w:val="24"/>
      <w:lang w:bidi="hi-IN" w:eastAsia="zh-CN" w:val="mn-MN"/>
    </w:rPr>
  </w:style>
  <w:style w:styleId="style45" w:type="paragraph">
    <w:name w:val="Table Contents"/>
    <w:basedOn w:val="style0"/>
    <w:next w:val="style45"/>
    <w:pPr>
      <w:suppressLineNumbers/>
    </w:pPr>
    <w:rPr/>
  </w:style>
  <w:style w:styleId="style46" w:type="paragraph">
    <w:name w:val="Normal (Web)"/>
    <w:basedOn w:val="style0"/>
    <w:next w:val="style46"/>
    <w:pPr>
      <w:spacing w:after="28" w:before="28" w:line="100" w:lineRule="atLeast"/>
      <w:contextualSpacing w:val="false"/>
    </w:pPr>
    <w:rPr>
      <w:rFonts w:ascii="Times New Roman" w:cs="Times New Roman" w:eastAsia="Times New Roman" w:hAnsi="Times New Roman"/>
      <w:sz w:val="24"/>
      <w:szCs w:val="24"/>
    </w:rPr>
  </w:style>
  <w:style w:styleId="style47" w:type="paragraph">
    <w:name w:val="Body text"/>
    <w:basedOn w:val="style0"/>
    <w:next w:val="style47"/>
    <w:pPr>
      <w:shd w:fill="FFFFFF" w:val="clear"/>
      <w:spacing w:after="600" w:before="420" w:line="100" w:lineRule="atLeast"/>
      <w:ind w:firstLine="720" w:left="0" w:right="0"/>
      <w:contextualSpacing w:val="false"/>
      <w:jc w:val="both"/>
    </w:pPr>
    <w:rPr>
      <w:rFonts w:ascii="Arial" w:cs="Arial" w:eastAsia="Arial" w:hAnsi="Arial"/>
    </w:rPr>
  </w:style>
  <w:style w:styleId="style48" w:type="paragraph">
    <w:name w:val="Heading #2"/>
    <w:basedOn w:val="style0"/>
    <w:next w:val="style48"/>
    <w:pPr>
      <w:shd w:fill="FFFFFF" w:val="clear"/>
      <w:spacing w:after="60" w:before="0" w:line="100" w:lineRule="atLeast"/>
      <w:contextualSpacing w:val="false"/>
    </w:pPr>
    <w:rPr>
      <w:rFonts w:ascii="Arial" w:cs="Arial" w:eastAsia="Arial" w:hAnsi="Arial"/>
      <w:b/>
      <w:bCs/>
    </w:rPr>
  </w:style>
  <w:style w:styleId="style49" w:type="paragraph">
    <w:name w:val="Footer"/>
    <w:basedOn w:val="style0"/>
    <w:next w:val="style49"/>
    <w:pPr>
      <w:suppressLineNumbers/>
      <w:tabs>
        <w:tab w:leader="none" w:pos="4680" w:val="center"/>
        <w:tab w:leader="none" w:pos="9360" w:val="right"/>
      </w:tabs>
      <w:spacing w:after="0" w:before="0" w:line="100" w:lineRule="atLeast"/>
      <w:contextualSpacing w:val="false"/>
    </w:pPr>
    <w:rPr/>
  </w:style>
  <w:style w:styleId="style50" w:type="paragraph">
    <w:name w:val="Header"/>
    <w:basedOn w:val="style0"/>
    <w:next w:val="style50"/>
    <w:pPr>
      <w:suppressLineNumbers/>
      <w:tabs>
        <w:tab w:leader="none" w:pos="4680" w:val="center"/>
        <w:tab w:leader="none" w:pos="9360" w:val="right"/>
      </w:tabs>
      <w:spacing w:after="0" w:before="0" w:line="100" w:lineRule="atLeast"/>
      <w:contextualSpacing w:val="false"/>
    </w:pPr>
    <w:rPr/>
  </w:style>
  <w:style w:styleId="style51" w:type="paragraph">
    <w:name w:val="No Spacing"/>
    <w:next w:val="style51"/>
    <w:pPr>
      <w:widowControl/>
      <w:tabs/>
      <w:suppressAutoHyphens w:val="true"/>
      <w:overflowPunct w:val="true"/>
      <w:spacing w:after="0" w:before="0" w:line="100" w:lineRule="atLeast"/>
      <w:contextualSpacing w:val="false"/>
    </w:pPr>
    <w:rPr>
      <w:rFonts w:ascii="Calibri" w:cs="Calibri" w:eastAsia="SimSun" w:hAnsi="Calibri"/>
      <w:color w:val="00000A"/>
      <w:sz w:val="22"/>
      <w:szCs w:val="22"/>
      <w:lang w:bidi="ar-SA" w:eastAsia="en-US" w:val="en-US"/>
    </w:rPr>
  </w:style>
  <w:style w:styleId="style52" w:type="paragraph">
    <w:name w:val="List Paragraph"/>
    <w:basedOn w:val="style0"/>
    <w:next w:val="style52"/>
    <w:pPr>
      <w:spacing w:after="200" w:before="0"/>
      <w:ind w:hanging="0" w:left="720" w:right="0"/>
      <w:contextualSpacing/>
    </w:pPr>
    <w:rPr/>
  </w:style>
  <w:style w:styleId="style53" w:type="paragraph">
    <w:name w:val="caption"/>
    <w:basedOn w:val="style0"/>
    <w:next w:val="style53"/>
    <w:pPr>
      <w:suppressLineNumbers/>
      <w:spacing w:after="120" w:before="120"/>
      <w:contextualSpacing w:val="false"/>
    </w:pPr>
    <w:rPr>
      <w:rFonts w:ascii="Arial" w:cs="Mangal" w:hAnsi="Arial"/>
      <w:i/>
      <w:iCs/>
      <w:sz w:val="24"/>
      <w:szCs w:val="24"/>
    </w:rPr>
  </w:style>
  <w:style w:styleId="style54" w:type="paragraph">
    <w:name w:val="Table Heading"/>
    <w:basedOn w:val="style45"/>
    <w:next w:val="style5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2013-09-27T16:26:04.30Z</dcterms:created>
  <cp:lastPrinted>2013-10-09T15:13:13.00Z</cp:lastPrinted>
  <cp:revision>0</cp:revision>
</cp:coreProperties>
</file>