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cs="Arial"/>
          <w:b/>
          <w:sz w:val="24"/>
          <w:szCs w:val="24"/>
        </w:rPr>
        <w:t xml:space="preserve">            </w:t>
      </w:r>
    </w:p>
    <w:p>
      <w:pPr>
        <w:pStyle w:val="style0"/>
        <w:jc w:val="center"/>
      </w:pPr>
      <w:r>
        <w:rPr>
          <w:rFonts w:cs="Arial"/>
          <w:b/>
          <w:sz w:val="24"/>
          <w:szCs w:val="24"/>
        </w:rPr>
        <w:t>УЛСЫН ИХ ХУРЛЫН</w:t>
      </w:r>
      <w:r>
        <w:rPr>
          <w:rFonts w:cs="Arial"/>
          <w:b/>
          <w:sz w:val="24"/>
          <w:szCs w:val="24"/>
          <w:lang w:val="en-US"/>
        </w:rPr>
        <w:t xml:space="preserve"> </w:t>
      </w:r>
      <w:r>
        <w:rPr>
          <w:rFonts w:cs="Arial"/>
          <w:b/>
          <w:sz w:val="24"/>
          <w:szCs w:val="24"/>
        </w:rPr>
        <w:t>201</w:t>
      </w:r>
      <w:r>
        <w:rPr>
          <w:rFonts w:cs="Arial"/>
          <w:b/>
          <w:sz w:val="24"/>
          <w:szCs w:val="24"/>
          <w:lang w:val="mn-MN"/>
        </w:rPr>
        <w:t>4</w:t>
      </w:r>
      <w:r>
        <w:rPr>
          <w:rFonts w:cs="Arial"/>
          <w:b/>
          <w:sz w:val="24"/>
          <w:szCs w:val="24"/>
        </w:rPr>
        <w:t xml:space="preserve"> ОНЫ </w:t>
      </w:r>
      <w:r>
        <w:rPr>
          <w:rFonts w:cs="Arial"/>
          <w:b/>
          <w:sz w:val="24"/>
          <w:szCs w:val="24"/>
          <w:lang w:val="mn-MN"/>
        </w:rPr>
        <w:t>ХАВ</w:t>
      </w:r>
      <w:r>
        <w:rPr>
          <w:rFonts w:cs="Arial"/>
          <w:b/>
          <w:sz w:val="24"/>
          <w:szCs w:val="24"/>
        </w:rPr>
        <w:t xml:space="preserve">РЫН ЭЭЛЖИТ </w:t>
      </w:r>
      <w:r>
        <w:rPr>
          <w:rFonts w:cs="Arial"/>
          <w:b/>
          <w:bCs/>
          <w:sz w:val="24"/>
          <w:szCs w:val="24"/>
        </w:rPr>
        <w:t>ЧУУЛГАНЫ</w:t>
      </w:r>
    </w:p>
    <w:p>
      <w:pPr>
        <w:pStyle w:val="style0"/>
        <w:jc w:val="center"/>
      </w:pPr>
      <w:r>
        <w:rPr>
          <w:rFonts w:cs="Arial"/>
          <w:b/>
          <w:bCs/>
          <w:sz w:val="24"/>
          <w:szCs w:val="24"/>
        </w:rPr>
        <w:tab/>
      </w:r>
      <w:r>
        <w:rPr>
          <w:rFonts w:cs="Arial"/>
          <w:b/>
          <w:bCs/>
          <w:sz w:val="24"/>
          <w:szCs w:val="24"/>
          <w:lang w:val="mn-MN"/>
        </w:rPr>
        <w:t>ЭДИЙН ЗАСГИЙН</w:t>
      </w:r>
      <w:r>
        <w:rPr>
          <w:rFonts w:cs="Arial"/>
          <w:b/>
          <w:bCs/>
          <w:sz w:val="24"/>
          <w:szCs w:val="24"/>
          <w:lang w:val="mn-MN"/>
        </w:rPr>
        <w:t xml:space="preserve"> БАЙНГЫН ХОРООНЫ</w:t>
      </w:r>
      <w:r>
        <w:rPr>
          <w:rFonts w:cs="Arial"/>
          <w:b/>
          <w:bCs/>
          <w:sz w:val="24"/>
          <w:szCs w:val="24"/>
        </w:rPr>
        <w:t xml:space="preserve"> </w:t>
      </w:r>
      <w:r>
        <w:rPr>
          <w:rFonts w:cs="Arial"/>
          <w:b/>
          <w:bCs/>
          <w:sz w:val="24"/>
          <w:szCs w:val="24"/>
          <w:lang w:val="mn-MN"/>
        </w:rPr>
        <w:t xml:space="preserve">2014 ОНЫ </w:t>
      </w:r>
      <w:r>
        <w:rPr>
          <w:rFonts w:cs="Arial"/>
          <w:b/>
          <w:bCs/>
          <w:sz w:val="24"/>
          <w:szCs w:val="24"/>
          <w:lang w:val="mn-MN"/>
        </w:rPr>
        <w:t>7</w:t>
      </w:r>
      <w:r>
        <w:rPr>
          <w:rFonts w:cs="Arial"/>
          <w:b/>
          <w:bCs/>
          <w:sz w:val="24"/>
          <w:szCs w:val="24"/>
          <w:lang w:val="mn-MN"/>
        </w:rPr>
        <w:t xml:space="preserve"> Д</w:t>
      </w:r>
      <w:r>
        <w:rPr>
          <w:rFonts w:cs="Arial"/>
          <w:b/>
          <w:bCs/>
          <w:sz w:val="24"/>
          <w:szCs w:val="24"/>
          <w:lang w:val="mn-MN"/>
        </w:rPr>
        <w:t>УГААР</w:t>
      </w:r>
      <w:r>
        <w:rPr>
          <w:rFonts w:cs="Arial"/>
          <w:b/>
          <w:bCs/>
          <w:sz w:val="24"/>
          <w:szCs w:val="24"/>
        </w:rPr>
        <w:t xml:space="preserve"> САРЫН              </w:t>
        <w:tab/>
      </w:r>
      <w:r>
        <w:rPr>
          <w:rFonts w:cs="Arial"/>
          <w:b/>
          <w:bCs/>
          <w:sz w:val="24"/>
          <w:szCs w:val="24"/>
          <w:lang w:val="mn-MN"/>
        </w:rPr>
        <w:t>0</w:t>
      </w:r>
      <w:r>
        <w:rPr>
          <w:rFonts w:cs="Arial"/>
          <w:b/>
          <w:bCs/>
          <w:sz w:val="24"/>
          <w:szCs w:val="24"/>
          <w:lang w:val="mn-MN"/>
        </w:rPr>
        <w:t>1-Н</w:t>
      </w:r>
      <w:r>
        <w:rPr>
          <w:rFonts w:cs="Arial"/>
          <w:b/>
          <w:bCs/>
          <w:sz w:val="24"/>
          <w:szCs w:val="24"/>
          <w:lang w:val="mn-MN"/>
        </w:rPr>
        <w:t>ИЙ</w:t>
      </w:r>
      <w:r>
        <w:rPr>
          <w:rFonts w:cs="Arial"/>
          <w:b/>
          <w:bCs/>
          <w:sz w:val="24"/>
          <w:szCs w:val="24"/>
        </w:rPr>
        <w:t xml:space="preserve"> ӨДРИЙН ХУРАЛДААНЫ ТЭМДЭГЛЭЛИЙН </w:t>
      </w:r>
      <w:r>
        <w:rPr>
          <w:b/>
          <w:sz w:val="24"/>
          <w:szCs w:val="24"/>
          <w:lang w:val="mn-MN"/>
        </w:rPr>
        <w:t>ТОВЬЁОГ</w:t>
      </w:r>
    </w:p>
    <w:p>
      <w:pPr>
        <w:pStyle w:val="style0"/>
        <w:spacing w:line="100" w:lineRule="atLeast"/>
        <w:ind w:hanging="0" w:left="0" w:right="0"/>
        <w:jc w:val="right"/>
      </w:pPr>
      <w:r>
        <w:rPr>
          <w:sz w:val="24"/>
          <w:szCs w:val="24"/>
        </w:rPr>
        <w:tab/>
        <w:tab/>
        <w:tab/>
      </w:r>
    </w:p>
    <w:p>
      <w:pPr>
        <w:pStyle w:val="style0"/>
        <w:jc w:val="both"/>
      </w:pPr>
      <w:r>
        <w:rPr/>
      </w:r>
    </w:p>
    <w:tbl>
      <w:tblPr>
        <w:jc w:val="right"/>
        <w:tblInd w:type="dxa" w:w="51"/>
        <w:tblBorders>
          <w:top w:color="000001" w:space="0" w:sz="2" w:val="single"/>
          <w:left w:color="000001" w:space="0" w:sz="2" w:val="single"/>
          <w:bottom w:color="000001" w:space="0" w:sz="2" w:val="single"/>
          <w:insideH w:color="000001" w:space="0" w:sz="2" w:val="single"/>
          <w:right w:val="none"/>
          <w:insideV w:val="none"/>
        </w:tblBorders>
        <w:tblCellMar>
          <w:top w:type="dxa" w:w="55"/>
          <w:left w:type="dxa" w:w="48"/>
          <w:bottom w:type="dxa" w:w="55"/>
          <w:right w:type="dxa" w:w="55"/>
        </w:tblCellMar>
      </w:tblPr>
      <w:tblGrid>
        <w:gridCol w:w="444"/>
        <w:gridCol w:w="7241"/>
        <w:gridCol w:w="1380"/>
      </w:tblGrid>
      <w:tr>
        <w:trPr>
          <w:cantSplit w:val="false"/>
        </w:trPr>
        <w:tc>
          <w:tcPr>
            <w:tcW w:type="dxa" w:w="444"/>
            <w:tcBorders>
              <w:top w:color="000001" w:space="0" w:sz="2" w:val="single"/>
              <w:left w:color="000001" w:space="0" w:sz="2" w:val="single"/>
              <w:bottom w:color="000001" w:space="0" w:sz="2" w:val="single"/>
              <w:right w:val="none"/>
            </w:tcBorders>
            <w:shd w:fill="FFFFFF" w:val="clear"/>
            <w:tcMar>
              <w:left w:type="dxa" w:w="48"/>
            </w:tcMar>
          </w:tcPr>
          <w:p>
            <w:pPr>
              <w:pStyle w:val="style24"/>
              <w:jc w:val="center"/>
            </w:pPr>
            <w:r>
              <w:rPr>
                <w:b/>
                <w:bCs/>
                <w:i/>
                <w:iCs/>
                <w:lang w:val="mn-MN"/>
              </w:rPr>
              <w:t>№</w:t>
            </w:r>
          </w:p>
        </w:tc>
        <w:tc>
          <w:tcPr>
            <w:tcW w:type="dxa" w:w="7241"/>
            <w:tcBorders>
              <w:top w:color="000001" w:space="0" w:sz="2" w:val="single"/>
              <w:left w:color="000001" w:space="0" w:sz="2" w:val="single"/>
              <w:bottom w:color="000001" w:space="0" w:sz="2" w:val="single"/>
              <w:right w:val="none"/>
            </w:tcBorders>
            <w:shd w:fill="FFFFFF" w:val="clear"/>
            <w:tcMar>
              <w:left w:type="dxa" w:w="48"/>
            </w:tcMar>
          </w:tcPr>
          <w:p>
            <w:pPr>
              <w:pStyle w:val="style24"/>
              <w:jc w:val="center"/>
            </w:pPr>
            <w:r>
              <w:rPr>
                <w:b/>
                <w:bCs/>
                <w:i/>
                <w:iCs/>
                <w:lang w:val="mn-MN"/>
              </w:rPr>
              <w:t>Баримтуудын агуулга</w:t>
            </w:r>
          </w:p>
        </w:tc>
        <w:tc>
          <w:tcPr>
            <w:tcW w:type="dxa" w:w="1380"/>
            <w:tcBorders>
              <w:top w:color="000001" w:space="0" w:sz="2" w:val="single"/>
              <w:left w:color="000001" w:space="0" w:sz="2" w:val="single"/>
              <w:bottom w:color="000001" w:space="0" w:sz="2" w:val="single"/>
              <w:right w:color="000001" w:space="0" w:sz="2" w:val="single"/>
            </w:tcBorders>
            <w:shd w:fill="FFFFFF" w:val="clear"/>
            <w:tcMar>
              <w:left w:type="dxa" w:w="48"/>
            </w:tcMar>
          </w:tcPr>
          <w:p>
            <w:pPr>
              <w:pStyle w:val="style24"/>
              <w:jc w:val="center"/>
            </w:pPr>
            <w:r>
              <w:rPr>
                <w:b/>
                <w:bCs/>
                <w:i/>
                <w:iCs/>
                <w:lang w:val="mn-MN"/>
              </w:rPr>
              <w:t xml:space="preserve">Хуудасны тоо </w:t>
            </w:r>
          </w:p>
        </w:tc>
      </w:tr>
      <w:tr>
        <w:trPr>
          <w:cantSplit w:val="false"/>
        </w:trPr>
        <w:tc>
          <w:tcPr>
            <w:tcW w:type="dxa" w:w="444"/>
            <w:tcBorders>
              <w:top w:val="none"/>
              <w:left w:color="000001" w:space="0" w:sz="2" w:val="single"/>
              <w:bottom w:color="000001" w:space="0" w:sz="2" w:val="single"/>
              <w:right w:val="none"/>
            </w:tcBorders>
            <w:shd w:fill="FFFFFF" w:val="clear"/>
            <w:tcMar>
              <w:left w:type="dxa" w:w="48"/>
            </w:tcMar>
          </w:tcPr>
          <w:p>
            <w:pPr>
              <w:pStyle w:val="style24"/>
              <w:jc w:val="both"/>
            </w:pPr>
            <w:r>
              <w:rPr>
                <w:lang w:val="mn-MN"/>
              </w:rPr>
              <w:t>1</w:t>
            </w:r>
          </w:p>
        </w:tc>
        <w:tc>
          <w:tcPr>
            <w:tcW w:type="dxa" w:w="7241"/>
            <w:tcBorders>
              <w:top w:val="none"/>
              <w:left w:color="000001" w:space="0" w:sz="2" w:val="single"/>
              <w:bottom w:color="000001" w:space="0" w:sz="2" w:val="single"/>
              <w:right w:val="none"/>
            </w:tcBorders>
            <w:shd w:fill="FFFFFF" w:val="clear"/>
            <w:tcMar>
              <w:left w:type="dxa" w:w="48"/>
            </w:tcMar>
          </w:tcPr>
          <w:p>
            <w:pPr>
              <w:pStyle w:val="style24"/>
              <w:jc w:val="both"/>
            </w:pPr>
            <w:r>
              <w:rPr>
                <w:lang w:val="mn-MN"/>
              </w:rPr>
              <w:t>Хуралдааны товч тэмдэглэл</w:t>
            </w:r>
          </w:p>
        </w:tc>
        <w:tc>
          <w:tcPr>
            <w:tcW w:type="dxa" w:w="1380"/>
            <w:tcBorders>
              <w:top w:val="none"/>
              <w:left w:color="000001" w:space="0" w:sz="2" w:val="single"/>
              <w:bottom w:color="000001" w:space="0" w:sz="2" w:val="single"/>
              <w:right w:color="000001" w:space="0" w:sz="2" w:val="single"/>
            </w:tcBorders>
            <w:shd w:fill="FFFFFF" w:val="clear"/>
            <w:tcMar>
              <w:left w:type="dxa" w:w="48"/>
            </w:tcMar>
          </w:tcPr>
          <w:p>
            <w:pPr>
              <w:pStyle w:val="style24"/>
              <w:jc w:val="center"/>
            </w:pPr>
            <w:r>
              <w:rPr>
                <w:lang w:val="mn-MN"/>
              </w:rPr>
              <w:t>2</w:t>
            </w:r>
          </w:p>
        </w:tc>
      </w:tr>
      <w:tr>
        <w:trPr>
          <w:cantSplit w:val="false"/>
        </w:trPr>
        <w:tc>
          <w:tcPr>
            <w:tcW w:type="dxa" w:w="444"/>
            <w:tcBorders>
              <w:top w:val="none"/>
              <w:left w:color="000001" w:space="0" w:sz="2" w:val="single"/>
              <w:bottom w:color="000001" w:space="0" w:sz="2" w:val="single"/>
              <w:right w:val="none"/>
            </w:tcBorders>
            <w:shd w:fill="FFFFFF" w:val="clear"/>
            <w:tcMar>
              <w:left w:type="dxa" w:w="48"/>
            </w:tcMar>
          </w:tcPr>
          <w:p>
            <w:pPr>
              <w:pStyle w:val="style24"/>
              <w:jc w:val="both"/>
            </w:pPr>
            <w:r>
              <w:rPr>
                <w:lang w:val="mn-MN"/>
              </w:rPr>
              <w:t>2</w:t>
            </w:r>
          </w:p>
        </w:tc>
        <w:tc>
          <w:tcPr>
            <w:tcW w:type="dxa" w:w="7241"/>
            <w:tcBorders>
              <w:top w:val="none"/>
              <w:left w:color="000001" w:space="0" w:sz="2" w:val="single"/>
              <w:bottom w:color="000001" w:space="0" w:sz="2" w:val="single"/>
              <w:right w:val="none"/>
            </w:tcBorders>
            <w:shd w:fill="FFFFFF" w:val="clear"/>
            <w:tcMar>
              <w:left w:type="dxa" w:w="48"/>
            </w:tcMar>
          </w:tcPr>
          <w:p>
            <w:pPr>
              <w:pStyle w:val="style24"/>
              <w:jc w:val="both"/>
            </w:pPr>
            <w:r>
              <w:rPr>
                <w:b/>
                <w:bCs/>
                <w:i/>
                <w:iCs/>
                <w:lang w:val="mn-MN"/>
              </w:rPr>
              <w:t>Соронзон бичлэг:</w:t>
            </w:r>
          </w:p>
          <w:p>
            <w:pPr>
              <w:pStyle w:val="style24"/>
              <w:numPr>
                <w:ilvl w:val="0"/>
                <w:numId w:val="1"/>
              </w:numPr>
              <w:jc w:val="both"/>
            </w:pPr>
            <w:r>
              <w:rPr>
                <w:lang w:val="mn-MN"/>
              </w:rPr>
              <w:t xml:space="preserve">Монгол Улсын эдийн засаг, нийгмийг 2015 онд хөгжүүлэх үндсэн чиглэл батлах тухай Улсын Их Хурлын тогтоолын төсөл </w:t>
            </w:r>
            <w:r>
              <w:rPr>
                <w:lang w:val="en-US"/>
              </w:rPr>
              <w:t>(</w:t>
            </w:r>
            <w:r>
              <w:rPr>
                <w:lang w:val="mn-MN"/>
              </w:rPr>
              <w:t>эцсийн хэлэлцүүлэг</w:t>
            </w:r>
            <w:r>
              <w:rPr>
                <w:lang w:val="en-US"/>
              </w:rPr>
              <w:t>)</w:t>
            </w:r>
          </w:p>
          <w:p>
            <w:pPr>
              <w:pStyle w:val="style24"/>
              <w:numPr>
                <w:ilvl w:val="0"/>
                <w:numId w:val="1"/>
              </w:numPr>
              <w:jc w:val="both"/>
            </w:pPr>
            <w:r>
              <w:rPr>
                <w:lang w:val="mn-MN"/>
              </w:rPr>
              <w:t xml:space="preserve">Цагаан суваргын ордын төрийн эзэмшлийг тогтоох Улсын Их Хурлын тогтоолын төсөл </w:t>
            </w:r>
            <w:r>
              <w:rPr>
                <w:lang w:val="en-US"/>
              </w:rPr>
              <w:t>(</w:t>
            </w:r>
            <w:r>
              <w:rPr>
                <w:lang w:val="mn-MN"/>
              </w:rPr>
              <w:t>эцсийн хэлэлцүүлэг</w:t>
            </w:r>
            <w:r>
              <w:rPr>
                <w:lang w:val="en-US"/>
              </w:rPr>
              <w:t>)</w:t>
            </w:r>
          </w:p>
        </w:tc>
        <w:tc>
          <w:tcPr>
            <w:tcW w:type="dxa" w:w="1380"/>
            <w:tcBorders>
              <w:top w:val="none"/>
              <w:left w:color="000001" w:space="0" w:sz="2" w:val="single"/>
              <w:bottom w:color="000001" w:space="0" w:sz="2" w:val="single"/>
              <w:right w:color="000001" w:space="0" w:sz="2" w:val="single"/>
            </w:tcBorders>
            <w:shd w:fill="FFFFFF" w:val="clear"/>
            <w:tcMar>
              <w:left w:type="dxa" w:w="48"/>
            </w:tcMar>
          </w:tcPr>
          <w:p>
            <w:pPr>
              <w:pStyle w:val="style24"/>
              <w:jc w:val="center"/>
            </w:pPr>
            <w:r>
              <w:rPr/>
              <w:t xml:space="preserve">  </w:t>
            </w:r>
          </w:p>
          <w:p>
            <w:pPr>
              <w:pStyle w:val="style24"/>
              <w:jc w:val="center"/>
            </w:pPr>
            <w:r>
              <w:rPr>
                <w:lang w:val="mn-MN"/>
              </w:rPr>
            </w:r>
          </w:p>
          <w:p>
            <w:pPr>
              <w:pStyle w:val="style24"/>
              <w:jc w:val="center"/>
            </w:pPr>
            <w:r>
              <w:rPr>
                <w:lang w:val="mn-MN"/>
              </w:rPr>
            </w:r>
          </w:p>
          <w:p>
            <w:pPr>
              <w:pStyle w:val="style24"/>
              <w:jc w:val="center"/>
            </w:pPr>
            <w:r>
              <w:rPr>
                <w:lang w:val="mn-MN"/>
              </w:rPr>
              <w:t>3-4</w:t>
            </w:r>
          </w:p>
          <w:p>
            <w:pPr>
              <w:pStyle w:val="style24"/>
              <w:jc w:val="center"/>
            </w:pPr>
            <w:r>
              <w:rPr>
                <w:lang w:val="mn-MN"/>
              </w:rPr>
            </w:r>
          </w:p>
          <w:p>
            <w:pPr>
              <w:pStyle w:val="style24"/>
              <w:jc w:val="center"/>
            </w:pPr>
            <w:r>
              <w:rPr>
                <w:lang w:val="mn-MN"/>
              </w:rPr>
              <w:t>4-6</w:t>
            </w:r>
          </w:p>
        </w:tc>
      </w:tr>
    </w:tbl>
    <w:p>
      <w:pPr>
        <w:pStyle w:val="style0"/>
      </w:pPr>
      <w:r>
        <w:rPr/>
      </w:r>
    </w:p>
    <w:p>
      <w:pPr>
        <w:pStyle w:val="style0"/>
        <w:jc w:val="center"/>
      </w:pPr>
      <w:r>
        <w:rPr/>
      </w:r>
    </w:p>
    <w:p>
      <w:pPr>
        <w:pStyle w:val="style0"/>
        <w:jc w:val="center"/>
      </w:pPr>
      <w:r>
        <w:rPr>
          <w:b/>
          <w:bCs/>
          <w:i/>
          <w:iCs/>
          <w:lang w:val="mn-MN"/>
        </w:rPr>
        <w:t>Монгол Улсын Их Хурлын 2014 оны хаврын ээлжит чуулганы</w:t>
      </w:r>
    </w:p>
    <w:p>
      <w:pPr>
        <w:pStyle w:val="style0"/>
        <w:jc w:val="center"/>
      </w:pPr>
      <w:r>
        <w:rPr>
          <w:b/>
          <w:bCs/>
          <w:i/>
          <w:iCs/>
          <w:lang w:val="mn-MN"/>
        </w:rPr>
        <w:t xml:space="preserve">Эдийн засгийн байнгын хорооны 07 дугаар сарын 01-ний </w:t>
      </w:r>
    </w:p>
    <w:p>
      <w:pPr>
        <w:pStyle w:val="style0"/>
        <w:jc w:val="center"/>
      </w:pPr>
      <w:r>
        <w:rPr>
          <w:b/>
          <w:bCs/>
          <w:i/>
          <w:iCs/>
          <w:lang w:val="mn-MN"/>
        </w:rPr>
        <w:t xml:space="preserve">өдөр </w:t>
      </w:r>
      <w:r>
        <w:rPr>
          <w:b/>
          <w:bCs/>
          <w:i/>
          <w:iCs/>
          <w:lang w:val="en-US"/>
        </w:rPr>
        <w:t>(</w:t>
      </w:r>
      <w:r>
        <w:rPr>
          <w:b/>
          <w:bCs/>
          <w:i/>
          <w:iCs/>
          <w:lang w:val="mn-MN"/>
        </w:rPr>
        <w:t>Мягмар гараг</w:t>
      </w:r>
      <w:r>
        <w:rPr>
          <w:b/>
          <w:bCs/>
          <w:i/>
          <w:iCs/>
          <w:lang w:val="en-US"/>
        </w:rPr>
        <w:t>)</w:t>
      </w:r>
      <w:r>
        <w:rPr>
          <w:b/>
          <w:bCs/>
          <w:i/>
          <w:iCs/>
          <w:lang w:val="mn-MN"/>
        </w:rPr>
        <w:t>-ийн хуралдааны гар тэмдэглэл</w:t>
      </w:r>
    </w:p>
    <w:p>
      <w:pPr>
        <w:pStyle w:val="style0"/>
        <w:jc w:val="center"/>
      </w:pPr>
      <w:r>
        <w:rPr/>
      </w:r>
    </w:p>
    <w:p>
      <w:pPr>
        <w:pStyle w:val="style0"/>
        <w:jc w:val="both"/>
      </w:pPr>
      <w:r>
        <w:rPr>
          <w:b/>
          <w:bCs/>
          <w:i/>
          <w:iCs/>
          <w:lang w:val="mn-MN"/>
        </w:rPr>
        <w:tab/>
      </w:r>
      <w:r>
        <w:rPr>
          <w:b w:val="false"/>
          <w:bCs w:val="false"/>
          <w:i w:val="false"/>
          <w:iCs w:val="false"/>
          <w:lang w:val="mn-MN"/>
        </w:rPr>
        <w:t>Байнгын хорооны дарга, Улсын Их Хурлын гишүүн Б.Гарамгайбаатар ирц, хэлэлцэх асуудлын дарааллыг танилцуулж, хуралдааныг даргалав.</w:t>
      </w:r>
    </w:p>
    <w:p>
      <w:pPr>
        <w:pStyle w:val="style0"/>
        <w:jc w:val="both"/>
      </w:pPr>
      <w:r>
        <w:rPr/>
      </w:r>
    </w:p>
    <w:p>
      <w:pPr>
        <w:pStyle w:val="style0"/>
        <w:jc w:val="both"/>
      </w:pPr>
      <w:r>
        <w:rPr>
          <w:b w:val="false"/>
          <w:bCs w:val="false"/>
          <w:i w:val="false"/>
          <w:iCs w:val="false"/>
          <w:lang w:val="mn-MN"/>
        </w:rPr>
        <w:tab/>
      </w:r>
      <w:r>
        <w:rPr>
          <w:b w:val="false"/>
          <w:bCs w:val="false"/>
          <w:i/>
          <w:iCs/>
          <w:lang w:val="mn-MN"/>
        </w:rPr>
        <w:t>Ирвэл зохих 19 гишүүнээс 15 гишүүн ирж, 78.9 хувийн ирцтэйгээр хуралдаан 19 цаг 37 минутад Төрийн ордны “А” танхимд эхлэв.</w:t>
      </w:r>
    </w:p>
    <w:p>
      <w:pPr>
        <w:pStyle w:val="style0"/>
        <w:jc w:val="both"/>
      </w:pPr>
      <w:r>
        <w:rPr/>
      </w:r>
    </w:p>
    <w:p>
      <w:pPr>
        <w:pStyle w:val="style0"/>
        <w:jc w:val="both"/>
      </w:pPr>
      <w:r>
        <w:rPr>
          <w:b w:val="false"/>
          <w:bCs w:val="false"/>
          <w:i w:val="false"/>
          <w:iCs w:val="false"/>
          <w:lang w:val="mn-MN"/>
        </w:rPr>
        <w:tab/>
      </w:r>
      <w:r>
        <w:rPr>
          <w:b w:val="false"/>
          <w:bCs w:val="false"/>
          <w:i/>
          <w:iCs/>
          <w:lang w:val="mn-MN"/>
        </w:rPr>
        <w:t>Чөлөөтэй:</w:t>
      </w:r>
      <w:r>
        <w:rPr>
          <w:b w:val="false"/>
          <w:bCs w:val="false"/>
          <w:i w:val="false"/>
          <w:iCs w:val="false"/>
          <w:lang w:val="mn-MN"/>
        </w:rPr>
        <w:t xml:space="preserve"> Х.Болорчулуун, Ц.Даваасүрэн, С.Дэмбэрэл, Л.Энх-Амгалан. </w:t>
      </w:r>
    </w:p>
    <w:p>
      <w:pPr>
        <w:pStyle w:val="style0"/>
        <w:jc w:val="both"/>
      </w:pPr>
      <w:r>
        <w:rPr/>
      </w:r>
    </w:p>
    <w:p>
      <w:pPr>
        <w:pStyle w:val="style0"/>
        <w:jc w:val="both"/>
      </w:pPr>
      <w:r>
        <w:rPr/>
        <w:tab/>
      </w:r>
      <w:r>
        <w:rPr>
          <w:b/>
          <w:bCs/>
          <w:lang w:val="mn-MN"/>
        </w:rPr>
        <w:t>Б.Гарамгайбаатар:</w:t>
      </w:r>
      <w:r>
        <w:rPr>
          <w:lang w:val="mn-MN"/>
        </w:rPr>
        <w:t xml:space="preserve"> -</w:t>
      </w:r>
      <w:r>
        <w:rPr>
          <w:b w:val="false"/>
          <w:bCs w:val="false"/>
          <w:i w:val="false"/>
          <w:iCs w:val="false"/>
          <w:lang w:val="mn-MN"/>
        </w:rPr>
        <w:t xml:space="preserve">Эдийн засгийн байнгын хороонд шинээр орж ирж байгаа Улсын Их Хурлын гишүүн Ж.Батсуурь, Ө.Энхтүвшин нарт баяр хүргэж,  ажлын амжилт хүсэв. </w:t>
      </w:r>
    </w:p>
    <w:p>
      <w:pPr>
        <w:pStyle w:val="style0"/>
        <w:jc w:val="both"/>
      </w:pPr>
      <w:r>
        <w:rPr/>
      </w:r>
    </w:p>
    <w:p>
      <w:pPr>
        <w:pStyle w:val="style0"/>
        <w:jc w:val="both"/>
      </w:pPr>
      <w:r>
        <w:rPr>
          <w:b w:val="false"/>
          <w:bCs w:val="false"/>
          <w:i w:val="false"/>
          <w:iCs w:val="false"/>
          <w:lang w:val="mn-MN"/>
        </w:rPr>
        <w:tab/>
      </w:r>
      <w:r>
        <w:rPr>
          <w:b/>
          <w:bCs/>
          <w:i/>
          <w:iCs/>
          <w:lang w:val="mn-MN"/>
        </w:rPr>
        <w:t>Нэг. Монгол Улсын эдийн засаг, нийгмийг 2015 онд хөгжүүлэх үндсэн чиглэл батлах тухай Улсын Их Хурлын тогтоолын төсөл</w:t>
      </w:r>
      <w:r>
        <w:rPr>
          <w:b w:val="false"/>
          <w:bCs w:val="false"/>
          <w:i w:val="false"/>
          <w:iCs w:val="false"/>
          <w:lang w:val="mn-MN"/>
        </w:rPr>
        <w:t xml:space="preserve"> </w:t>
      </w:r>
      <w:r>
        <w:rPr>
          <w:b w:val="false"/>
          <w:bCs w:val="false"/>
          <w:i/>
          <w:iCs/>
          <w:lang w:val="en-US"/>
        </w:rPr>
        <w:t>(</w:t>
      </w:r>
      <w:r>
        <w:rPr>
          <w:b w:val="false"/>
          <w:bCs w:val="false"/>
          <w:i/>
          <w:iCs/>
          <w:lang w:val="mn-MN"/>
        </w:rPr>
        <w:t>эцсийн хэлэлцүүлэг</w:t>
      </w:r>
      <w:r>
        <w:rPr>
          <w:b w:val="false"/>
          <w:bCs w:val="false"/>
          <w:i/>
          <w:iCs/>
          <w:lang w:val="en-US"/>
        </w:rPr>
        <w:t>)</w:t>
      </w:r>
      <w:r>
        <w:rPr>
          <w:b w:val="false"/>
          <w:bCs w:val="false"/>
          <w:i/>
          <w:iCs/>
          <w:lang w:val="mn-MN"/>
        </w:rPr>
        <w:t>.</w:t>
      </w:r>
    </w:p>
    <w:p>
      <w:pPr>
        <w:pStyle w:val="style0"/>
        <w:jc w:val="both"/>
      </w:pPr>
      <w:r>
        <w:rPr/>
      </w:r>
    </w:p>
    <w:p>
      <w:pPr>
        <w:pStyle w:val="style0"/>
        <w:jc w:val="both"/>
      </w:pPr>
      <w:r>
        <w:rPr>
          <w:b w:val="false"/>
          <w:bCs w:val="false"/>
          <w:i/>
          <w:iCs/>
          <w:lang w:val="mn-MN"/>
        </w:rPr>
        <w:tab/>
      </w:r>
      <w:r>
        <w:rPr>
          <w:b w:val="false"/>
          <w:bCs w:val="false"/>
          <w:i w:val="false"/>
          <w:iCs w:val="false"/>
          <w:lang w:val="mn-MN"/>
        </w:rPr>
        <w:t>Хуралдаанд Эдийн засгийн байнгын хорооны ажлын албаны ахлах зөвлөх Ж.Батсайхан, зөвлөх Н.Мөнхзэсэм, референт Д.Цэцэгмаа нар байлцав.</w:t>
      </w:r>
    </w:p>
    <w:p>
      <w:pPr>
        <w:pStyle w:val="style0"/>
        <w:jc w:val="both"/>
      </w:pPr>
      <w:r>
        <w:rPr/>
      </w:r>
    </w:p>
    <w:p>
      <w:pPr>
        <w:pStyle w:val="style0"/>
        <w:jc w:val="both"/>
      </w:pPr>
      <w:r>
        <w:rPr>
          <w:b w:val="false"/>
          <w:bCs w:val="false"/>
          <w:i w:val="false"/>
          <w:iCs w:val="false"/>
          <w:lang w:val="mn-MN"/>
        </w:rPr>
        <w:tab/>
        <w:t xml:space="preserve">Тогтоолын төслийг эцсийн хэлэлцүүлэгт бэлтгэсэн талаарх ажлын хэсгийн танилцуулгыг Улсын Их Хурлын гишүүн Б.Гарамгайбаатар танилцуулав. </w:t>
      </w:r>
    </w:p>
    <w:p>
      <w:pPr>
        <w:pStyle w:val="style0"/>
        <w:jc w:val="both"/>
      </w:pPr>
      <w:r>
        <w:rPr/>
      </w:r>
    </w:p>
    <w:p>
      <w:pPr>
        <w:pStyle w:val="style0"/>
        <w:jc w:val="both"/>
      </w:pPr>
      <w:r>
        <w:rPr>
          <w:b w:val="false"/>
          <w:bCs w:val="false"/>
          <w:i w:val="false"/>
          <w:iCs w:val="false"/>
          <w:lang w:val="mn-MN"/>
        </w:rPr>
        <w:tab/>
        <w:t>Танилцуулгатай холбогдуулан Улсын Их Хурлын гишүүдээс асуулт, санал гараагүй болно.</w:t>
      </w:r>
    </w:p>
    <w:p>
      <w:pPr>
        <w:pStyle w:val="style0"/>
        <w:jc w:val="both"/>
      </w:pPr>
      <w:r>
        <w:rPr/>
      </w:r>
    </w:p>
    <w:p>
      <w:pPr>
        <w:pStyle w:val="style0"/>
        <w:jc w:val="both"/>
      </w:pPr>
      <w:r>
        <w:rPr>
          <w:b w:val="false"/>
          <w:bCs w:val="false"/>
          <w:i w:val="false"/>
          <w:iCs w:val="false"/>
          <w:lang w:val="mn-MN"/>
        </w:rPr>
        <w:tab/>
        <w:t>Монгол Улсын эдийн засаг, нийгмийг 2015 онд хөгжүүлэх үндсэн чиглэл батлах тухай Улсын Их Хурлын тогтоолын төслийн эцсийн хэлэлцүүлэг</w:t>
      </w:r>
      <w:bookmarkStart w:id="0" w:name="__DdeLink__130_55695722"/>
      <w:r>
        <w:rPr>
          <w:b w:val="false"/>
          <w:bCs w:val="false"/>
          <w:i w:val="false"/>
          <w:iCs w:val="false"/>
          <w:lang w:val="mn-MN"/>
        </w:rPr>
        <w:t xml:space="preserve"> хийсэн талаарх Байнгын хорооны танилцуулгыг</w:t>
      </w:r>
      <w:bookmarkEnd w:id="0"/>
      <w:r>
        <w:rPr>
          <w:b w:val="false"/>
          <w:bCs w:val="false"/>
          <w:i w:val="false"/>
          <w:iCs w:val="false"/>
          <w:lang w:val="mn-MN"/>
        </w:rPr>
        <w:t xml:space="preserve"> Улсын Их Хурлын гишүүн Г.Батхүү Улсын Их Хурлын чуулганы нэгдсэн хуралдаанд танилцуулахаар тогтов.</w:t>
      </w:r>
    </w:p>
    <w:p>
      <w:pPr>
        <w:pStyle w:val="style0"/>
        <w:jc w:val="both"/>
      </w:pPr>
      <w:r>
        <w:rPr/>
      </w:r>
    </w:p>
    <w:p>
      <w:pPr>
        <w:pStyle w:val="style0"/>
        <w:jc w:val="both"/>
      </w:pPr>
      <w:r>
        <w:rPr>
          <w:b/>
          <w:bCs/>
          <w:i/>
          <w:iCs/>
          <w:lang w:val="mn-MN"/>
        </w:rPr>
        <w:tab/>
        <w:t>Уг асуудлыг 19 цаг 45 минутад хэлэлцэж дуусав.</w:t>
      </w:r>
    </w:p>
    <w:p>
      <w:pPr>
        <w:pStyle w:val="style0"/>
        <w:jc w:val="both"/>
      </w:pPr>
      <w:r>
        <w:rPr/>
      </w:r>
    </w:p>
    <w:p>
      <w:pPr>
        <w:pStyle w:val="style0"/>
        <w:jc w:val="both"/>
      </w:pPr>
      <w:r>
        <w:rPr>
          <w:b/>
          <w:bCs/>
          <w:i/>
          <w:iCs/>
          <w:lang w:val="mn-MN"/>
        </w:rPr>
        <w:tab/>
        <w:t xml:space="preserve">Хоёр. Цагаан суваргын ордын төрийн эзэмшлийн хувь тогтоох тухай Улсын Их Хурлын тогтоолын төсөл </w:t>
      </w:r>
      <w:r>
        <w:rPr>
          <w:b w:val="false"/>
          <w:bCs w:val="false"/>
          <w:i/>
          <w:iCs/>
          <w:lang w:val="en-US"/>
        </w:rPr>
        <w:t>(</w:t>
      </w:r>
      <w:r>
        <w:rPr>
          <w:b w:val="false"/>
          <w:bCs w:val="false"/>
          <w:i/>
          <w:iCs/>
          <w:lang w:val="mn-MN"/>
        </w:rPr>
        <w:t>эцсийн хэлэлцүүлэг</w:t>
      </w:r>
      <w:r>
        <w:rPr>
          <w:b w:val="false"/>
          <w:bCs w:val="false"/>
          <w:i/>
          <w:iCs/>
          <w:lang w:val="en-US"/>
        </w:rPr>
        <w:t>).</w:t>
      </w:r>
      <w:r>
        <w:rPr>
          <w:b w:val="false"/>
          <w:bCs w:val="false"/>
          <w:i/>
          <w:iCs/>
          <w:lang w:val="mn-MN"/>
        </w:rPr>
        <w:t xml:space="preserve"> </w:t>
      </w:r>
    </w:p>
    <w:p>
      <w:pPr>
        <w:pStyle w:val="style0"/>
        <w:jc w:val="both"/>
      </w:pPr>
      <w:r>
        <w:rPr/>
      </w:r>
    </w:p>
    <w:p>
      <w:pPr>
        <w:pStyle w:val="style0"/>
        <w:jc w:val="both"/>
      </w:pPr>
      <w:r>
        <w:rPr>
          <w:b w:val="false"/>
          <w:bCs w:val="false"/>
          <w:i/>
          <w:iCs/>
          <w:lang w:val="mn-MN"/>
        </w:rPr>
        <w:tab/>
      </w:r>
      <w:r>
        <w:rPr>
          <w:b w:val="false"/>
          <w:bCs w:val="false"/>
          <w:i w:val="false"/>
          <w:iCs w:val="false"/>
          <w:lang w:val="mn-MN"/>
        </w:rPr>
        <w:t>Хуралдаанд Эдийн засгийн байнгын хорооны ажлын албаны ахлах зөвлөх Ж.Батсайхан, зөвлөх Л.Батмөнх, референт Г.Баярмаа нар байлцав.</w:t>
      </w:r>
    </w:p>
    <w:p>
      <w:pPr>
        <w:pStyle w:val="style0"/>
        <w:jc w:val="both"/>
      </w:pPr>
      <w:r>
        <w:rPr/>
      </w:r>
    </w:p>
    <w:p>
      <w:pPr>
        <w:pStyle w:val="style0"/>
        <w:jc w:val="both"/>
      </w:pPr>
      <w:r>
        <w:rPr>
          <w:b w:val="false"/>
          <w:bCs w:val="false"/>
          <w:i w:val="false"/>
          <w:iCs w:val="false"/>
          <w:lang w:val="mn-MN"/>
        </w:rPr>
        <w:tab/>
        <w:t>Тогтоолын төслийг эцсийн хэлэлцүүлэгт бэлтгэсэн талаарх ажлын хэсгийн танилцуулгыг Улсын Их Хурлын гишүүн Д.Ганбат танилцуулав.</w:t>
      </w:r>
    </w:p>
    <w:p>
      <w:pPr>
        <w:pStyle w:val="style0"/>
        <w:jc w:val="both"/>
      </w:pPr>
      <w:r>
        <w:rPr/>
      </w:r>
    </w:p>
    <w:p>
      <w:pPr>
        <w:pStyle w:val="style0"/>
        <w:jc w:val="both"/>
      </w:pPr>
      <w:r>
        <w:rPr>
          <w:b w:val="false"/>
          <w:bCs w:val="false"/>
          <w:i w:val="false"/>
          <w:iCs w:val="false"/>
          <w:lang w:val="mn-MN"/>
        </w:rPr>
        <w:tab/>
        <w:t>Танилцуулгатай холбогдуулан Улсын Их Хурлын гишүүн Г.Уянга санал хэлэв.</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Цагаан суваргын ордын төрийн эзэмшлийн хувь тогтоох тухай Улсын Их Хурлын тогтоолын төслийн эцсийн хэлэлцүүлэг хийсэн талаарх Байнгын хорооны танилцуулгыг Улсын Их Хурлын гишүүн Д.Ганбат Улсын Их Хурлын чуулганы нэгдсэн хуралдаанд танилцуулахаар тогтов.</w:t>
      </w:r>
    </w:p>
    <w:p>
      <w:pPr>
        <w:pStyle w:val="style0"/>
        <w:jc w:val="both"/>
      </w:pPr>
      <w:r>
        <w:rPr/>
      </w:r>
    </w:p>
    <w:p>
      <w:pPr>
        <w:pStyle w:val="style0"/>
        <w:jc w:val="both"/>
      </w:pPr>
      <w:r>
        <w:rPr>
          <w:b w:val="false"/>
          <w:bCs w:val="false"/>
          <w:i w:val="false"/>
          <w:iCs w:val="false"/>
          <w:lang w:val="mn-MN"/>
        </w:rPr>
        <w:tab/>
      </w:r>
      <w:r>
        <w:rPr>
          <w:b/>
          <w:bCs/>
          <w:i/>
          <w:iCs/>
          <w:lang w:val="mn-MN"/>
        </w:rPr>
        <w:t>Хуралдаан 19 цаг 50 минутад өндөрлөв.</w:t>
      </w:r>
    </w:p>
    <w:p>
      <w:pPr>
        <w:pStyle w:val="style0"/>
        <w:jc w:val="both"/>
      </w:pPr>
      <w:r>
        <w:rPr/>
      </w:r>
    </w:p>
    <w:p>
      <w:pPr>
        <w:pStyle w:val="style0"/>
        <w:jc w:val="both"/>
      </w:pPr>
      <w:r>
        <w:rPr/>
      </w:r>
    </w:p>
    <w:p>
      <w:pPr>
        <w:pStyle w:val="style0"/>
        <w:jc w:val="both"/>
      </w:pPr>
      <w:r>
        <w:rPr>
          <w:b w:val="false"/>
          <w:bCs w:val="false"/>
          <w:i w:val="false"/>
          <w:iCs w:val="false"/>
          <w:lang w:val="mn-MN"/>
        </w:rPr>
        <w:tab/>
      </w:r>
      <w:r>
        <w:rPr>
          <w:b/>
          <w:bCs/>
          <w:i/>
          <w:iCs/>
          <w:lang w:val="mn-MN"/>
        </w:rPr>
        <w:t>Тэмдэглэлтэй танилцсан:</w:t>
      </w:r>
    </w:p>
    <w:p>
      <w:pPr>
        <w:pStyle w:val="style0"/>
        <w:jc w:val="both"/>
      </w:pPr>
      <w:r>
        <w:rPr>
          <w:b w:val="false"/>
          <w:bCs w:val="false"/>
          <w:i w:val="false"/>
          <w:iCs w:val="false"/>
          <w:lang w:val="mn-MN"/>
        </w:rPr>
        <w:tab/>
        <w:t>ЭДИЙН ЗАСГИЙН БАЙНГЫН</w:t>
      </w:r>
    </w:p>
    <w:p>
      <w:pPr>
        <w:pStyle w:val="style0"/>
        <w:jc w:val="both"/>
      </w:pPr>
      <w:r>
        <w:rPr>
          <w:b w:val="false"/>
          <w:bCs w:val="false"/>
          <w:i w:val="false"/>
          <w:iCs w:val="false"/>
          <w:lang w:val="mn-MN"/>
        </w:rPr>
        <w:tab/>
        <w:t>ХОРООНЫ ДАРГА</w:t>
        <w:tab/>
        <w:tab/>
        <w:tab/>
        <w:tab/>
        <w:tab/>
        <w:tab/>
        <w:t xml:space="preserve">    Б.ГАРАМГАЙБААТАР</w:t>
      </w:r>
    </w:p>
    <w:p>
      <w:pPr>
        <w:pStyle w:val="style0"/>
        <w:jc w:val="both"/>
      </w:pPr>
      <w:r>
        <w:rPr/>
      </w:r>
    </w:p>
    <w:p>
      <w:pPr>
        <w:pStyle w:val="style0"/>
        <w:jc w:val="both"/>
      </w:pPr>
      <w:r>
        <w:rPr>
          <w:b w:val="false"/>
          <w:bCs w:val="false"/>
          <w:i w:val="false"/>
          <w:iCs w:val="false"/>
          <w:lang w:val="mn-MN"/>
        </w:rPr>
        <w:tab/>
      </w:r>
      <w:r>
        <w:rPr>
          <w:b/>
          <w:bCs/>
          <w:i/>
          <w:iCs/>
          <w:lang w:val="mn-MN"/>
        </w:rPr>
        <w:t>Тэмдэглэл хөтөлсөн:</w:t>
      </w:r>
    </w:p>
    <w:p>
      <w:pPr>
        <w:pStyle w:val="style0"/>
        <w:jc w:val="both"/>
      </w:pPr>
      <w:r>
        <w:rPr>
          <w:b w:val="false"/>
          <w:bCs w:val="false"/>
          <w:i w:val="false"/>
          <w:iCs w:val="false"/>
          <w:lang w:val="mn-MN"/>
        </w:rPr>
        <w:tab/>
        <w:t>ПРОТОКОЛЫН АЛБАНЫ</w:t>
      </w:r>
    </w:p>
    <w:p>
      <w:pPr>
        <w:pStyle w:val="style0"/>
        <w:jc w:val="both"/>
      </w:pPr>
      <w:r>
        <w:rPr>
          <w:b w:val="false"/>
          <w:bCs w:val="false"/>
          <w:i w:val="false"/>
          <w:iCs w:val="false"/>
          <w:lang w:val="mn-MN"/>
        </w:rPr>
        <w:tab/>
        <w:t>ШИНЖЭЭЧ</w:t>
        <w:tab/>
        <w:tab/>
        <w:tab/>
        <w:tab/>
        <w:tab/>
        <w:tab/>
        <w:tab/>
        <w:tab/>
        <w:t>Д.ЭНЭБИШ</w:t>
      </w:r>
    </w:p>
    <w:p>
      <w:pPr>
        <w:pStyle w:val="style0"/>
        <w:jc w:val="both"/>
      </w:pPr>
      <w:r>
        <w:rPr/>
      </w:r>
    </w:p>
    <w:p>
      <w:pPr>
        <w:pStyle w:val="style0"/>
        <w:jc w:val="both"/>
      </w:pPr>
      <w:r>
        <w:rPr/>
      </w:r>
    </w:p>
    <w:p>
      <w:pPr>
        <w:pStyle w:val="style0"/>
        <w:jc w:val="both"/>
      </w:pPr>
      <w:r>
        <w:rPr>
          <w:b w:val="false"/>
          <w:bCs w:val="false"/>
          <w:i w:val="false"/>
          <w:iCs w:val="false"/>
          <w:lang w:val="mn-MN"/>
        </w:rPr>
        <w:tab/>
      </w:r>
    </w:p>
    <w:p>
      <w:pPr>
        <w:pStyle w:val="style0"/>
        <w:jc w:val="both"/>
      </w:pPr>
      <w:r>
        <w:rPr>
          <w:b w:val="false"/>
          <w:bCs w:val="false"/>
          <w:i w:val="false"/>
          <w:iCs w:val="false"/>
          <w:lang w:val="mn-MN"/>
        </w:rPr>
        <w:t xml:space="preserve">               </w:t>
      </w:r>
      <w:r>
        <w:rPr>
          <w:b/>
          <w:bCs/>
          <w:i w:val="false"/>
          <w:iCs w:val="false"/>
          <w:lang w:val="mn-MN"/>
        </w:rPr>
        <w:t xml:space="preserve">МОНГОЛ УЛСЫН ИХ ХУРЛЫН 2014 ОНЫ ХАВРЫН ЭЭЛЖИТ </w:t>
      </w:r>
    </w:p>
    <w:p>
      <w:pPr>
        <w:pStyle w:val="style0"/>
        <w:jc w:val="center"/>
      </w:pPr>
      <w:r>
        <w:rPr>
          <w:b/>
          <w:bCs/>
          <w:i w:val="false"/>
          <w:iCs w:val="false"/>
          <w:lang w:val="mn-MN"/>
        </w:rPr>
        <w:t>ЧУУЛГАНЫ ЭДИЙН ЗАСГИЙН БАЙНГЫН ХОРООНЫ 7 ДУГААР</w:t>
      </w:r>
    </w:p>
    <w:p>
      <w:pPr>
        <w:pStyle w:val="style0"/>
        <w:jc w:val="center"/>
      </w:pPr>
      <w:r>
        <w:rPr>
          <w:b/>
          <w:bCs/>
          <w:i w:val="false"/>
          <w:iCs w:val="false"/>
          <w:lang w:val="mn-MN"/>
        </w:rPr>
        <w:t xml:space="preserve"> </w:t>
      </w:r>
      <w:r>
        <w:rPr>
          <w:b/>
          <w:bCs/>
          <w:i w:val="false"/>
          <w:iCs w:val="false"/>
          <w:lang w:val="mn-MN"/>
        </w:rPr>
        <w:t xml:space="preserve">САРЫН 01-НИЙ ӨДРИЙН ХУРАЛДААНЫ ДЭЛГЭРЭНГҮЙ </w:t>
      </w:r>
    </w:p>
    <w:p>
      <w:pPr>
        <w:pStyle w:val="style0"/>
        <w:jc w:val="center"/>
      </w:pPr>
      <w:r>
        <w:rPr>
          <w:b/>
          <w:bCs/>
          <w:i w:val="false"/>
          <w:iCs w:val="false"/>
          <w:lang w:val="mn-MN"/>
        </w:rPr>
        <w:t>ТЭМДЭГЛЭЛ</w:t>
      </w:r>
    </w:p>
    <w:p>
      <w:pPr>
        <w:pStyle w:val="style0"/>
        <w:jc w:val="both"/>
      </w:pPr>
      <w:r>
        <w:rPr/>
      </w:r>
    </w:p>
    <w:p>
      <w:pPr>
        <w:pStyle w:val="style0"/>
        <w:jc w:val="both"/>
      </w:pPr>
      <w:r>
        <w:rPr>
          <w:b/>
          <w:bCs/>
          <w:i w:val="false"/>
          <w:iCs w:val="false"/>
          <w:lang w:val="mn-MN"/>
        </w:rPr>
        <w:tab/>
        <w:t xml:space="preserve">Б.Гарамгайбаатар: </w:t>
      </w:r>
      <w:r>
        <w:rPr>
          <w:b w:val="false"/>
          <w:bCs w:val="false"/>
          <w:i w:val="false"/>
          <w:iCs w:val="false"/>
          <w:lang w:val="mn-MN"/>
        </w:rPr>
        <w:t>-Эдийн засгийн байнгын хорооны энэ өдрийн хуралдаан эхлэхэд бэлэн болж байна. Тэгээд ирц бол 19 гишүүнээс 10 гишүүн ирсэн байна. Тэгэхээр Байнгын хорооны хуралдааныг албан ёсоор нээснийг мэдэгдье.</w:t>
      </w:r>
    </w:p>
    <w:p>
      <w:pPr>
        <w:pStyle w:val="style0"/>
        <w:jc w:val="both"/>
      </w:pPr>
      <w:r>
        <w:rPr/>
      </w:r>
    </w:p>
    <w:p>
      <w:pPr>
        <w:pStyle w:val="style0"/>
        <w:jc w:val="both"/>
      </w:pPr>
      <w:r>
        <w:rPr>
          <w:b w:val="false"/>
          <w:bCs w:val="false"/>
          <w:i w:val="false"/>
          <w:iCs w:val="false"/>
          <w:lang w:val="mn-MN"/>
        </w:rPr>
        <w:tab/>
        <w:t xml:space="preserve">Хуралдаан эхлэхийн өмнө Эдийн засгийн байнгын хороонд шинээр орж ирж байгаа Батсуурь гишүүн, Энхтүвшин гишүүн нартаа баяр хүргэж, Байнгын хороонд тавтай морилоорой гэж ингэж хүсээд, ажлын амжилт хүсье. </w:t>
      </w:r>
    </w:p>
    <w:p>
      <w:pPr>
        <w:pStyle w:val="style0"/>
        <w:jc w:val="both"/>
      </w:pPr>
      <w:r>
        <w:rPr/>
      </w:r>
    </w:p>
    <w:p>
      <w:pPr>
        <w:pStyle w:val="style0"/>
        <w:jc w:val="both"/>
      </w:pPr>
      <w:r>
        <w:rPr>
          <w:b w:val="false"/>
          <w:bCs w:val="false"/>
          <w:i w:val="false"/>
          <w:iCs w:val="false"/>
          <w:lang w:val="mn-MN"/>
        </w:rPr>
        <w:tab/>
        <w:t xml:space="preserve">Эдийн засгийн байнгын хорооны хэлэлцэх асуудал. </w:t>
      </w:r>
    </w:p>
    <w:p>
      <w:pPr>
        <w:pStyle w:val="style0"/>
        <w:jc w:val="both"/>
      </w:pPr>
      <w:r>
        <w:rPr/>
      </w:r>
    </w:p>
    <w:p>
      <w:pPr>
        <w:pStyle w:val="style0"/>
        <w:jc w:val="both"/>
      </w:pPr>
      <w:r>
        <w:rPr>
          <w:b w:val="false"/>
          <w:bCs w:val="false"/>
          <w:i w:val="false"/>
          <w:iCs w:val="false"/>
          <w:lang w:val="mn-MN"/>
        </w:rPr>
        <w:tab/>
        <w:t>Нэгдүгээрт нь, Монгол Улсын эдийн засаг, нийгмийг 2015 онд хөгжүүлэх үндсэн чиглэл батлах тухай Улсын Их Хурлын тогтоолын төсөл эцсийн хэлэлцүүлэг.</w:t>
      </w:r>
    </w:p>
    <w:p>
      <w:pPr>
        <w:pStyle w:val="style0"/>
        <w:jc w:val="both"/>
      </w:pPr>
      <w:r>
        <w:rPr/>
      </w:r>
    </w:p>
    <w:p>
      <w:pPr>
        <w:pStyle w:val="style0"/>
        <w:jc w:val="both"/>
      </w:pPr>
      <w:r>
        <w:rPr>
          <w:b w:val="false"/>
          <w:bCs w:val="false"/>
          <w:i w:val="false"/>
          <w:iCs w:val="false"/>
          <w:lang w:val="mn-MN"/>
        </w:rPr>
        <w:tab/>
        <w:t xml:space="preserve">Хоёрдугаарт, Цагаан суваргын ордын төрийн эзэмшлийн хувь тогтоох тухай Улсын Их Хурлын тогтоолын төсөл эцсийн хэлэлцүүлэг байгаа. </w:t>
      </w:r>
    </w:p>
    <w:p>
      <w:pPr>
        <w:pStyle w:val="style0"/>
        <w:jc w:val="both"/>
      </w:pPr>
      <w:r>
        <w:rPr/>
      </w:r>
    </w:p>
    <w:p>
      <w:pPr>
        <w:pStyle w:val="style0"/>
        <w:jc w:val="both"/>
      </w:pPr>
      <w:r>
        <w:rPr>
          <w:b w:val="false"/>
          <w:bCs w:val="false"/>
          <w:i w:val="false"/>
          <w:iCs w:val="false"/>
          <w:lang w:val="mn-MN"/>
        </w:rPr>
        <w:tab/>
        <w:t xml:space="preserve">Өөр саналтай гишүүд байна уу хэлэлцэх асуудалтай холбоотойгоор. Байхгүй байна. Тэгэхээр хэлэлцэх асуудалдаа оръё. Нямдорж гишүүн ороод ирлээ. Ингээд 11 боллоо. </w:t>
      </w:r>
    </w:p>
    <w:p>
      <w:pPr>
        <w:pStyle w:val="style0"/>
        <w:jc w:val="both"/>
      </w:pPr>
      <w:r>
        <w:rPr/>
      </w:r>
    </w:p>
    <w:p>
      <w:pPr>
        <w:pStyle w:val="style0"/>
        <w:jc w:val="both"/>
      </w:pPr>
      <w:r>
        <w:rPr>
          <w:b w:val="false"/>
          <w:bCs w:val="false"/>
          <w:i w:val="false"/>
          <w:iCs w:val="false"/>
          <w:lang w:val="mn-MN"/>
        </w:rPr>
        <w:tab/>
        <w:t xml:space="preserve">Монгол Улсын эдийн засаг, нийгмийг 2015 онд хөгжүүлэх үндсэн чиглэл батлах тухай Улсын Их Хурлын тогтоолын төслийг эцсийн хэлэлцүүлэгт бэлтгэсэн талаарх ажлын хэсгийн танилцуулгыг. За би танилцуулчихъя. </w:t>
      </w:r>
    </w:p>
    <w:p>
      <w:pPr>
        <w:pStyle w:val="style0"/>
        <w:jc w:val="both"/>
      </w:pPr>
      <w:r>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-Монгол Улсын эдийн засаг, нийгмийг 2015 онд хөгжүүлэх үндсэн чиглэл батлах тухай Улсын Их Хурлын тогтоолын төслийг эцсийн хэлэлцүүлэгт бэлтгэсэн талаарх ажлын хэсгийн танилцуулга. Батхүү гишүүн ирчихлээ шүү дээ.</w:t>
      </w:r>
    </w:p>
    <w:p>
      <w:pPr>
        <w:pStyle w:val="style0"/>
        <w:jc w:val="both"/>
      </w:pPr>
      <w:r>
        <w:rPr/>
      </w:r>
    </w:p>
    <w:p>
      <w:pPr>
        <w:pStyle w:val="style0"/>
        <w:jc w:val="both"/>
      </w:pPr>
      <w:r>
        <w:rPr>
          <w:b w:val="false"/>
          <w:bCs w:val="false"/>
          <w:i w:val="false"/>
          <w:iCs w:val="false"/>
          <w:lang w:val="mn-MN"/>
        </w:rPr>
        <w:tab/>
        <w:t>2014 оны 7 сарын 1-ний өдөр. Улаанбаатар хот.</w:t>
      </w:r>
    </w:p>
    <w:p>
      <w:pPr>
        <w:pStyle w:val="style0"/>
        <w:jc w:val="both"/>
      </w:pPr>
      <w:r>
        <w:rPr/>
      </w:r>
    </w:p>
    <w:p>
      <w:pPr>
        <w:pStyle w:val="style0"/>
        <w:jc w:val="both"/>
      </w:pPr>
      <w:r>
        <w:rPr>
          <w:b w:val="false"/>
          <w:bCs w:val="false"/>
          <w:i w:val="false"/>
          <w:iCs w:val="false"/>
          <w:lang w:val="mn-MN"/>
        </w:rPr>
        <w:tab/>
        <w:t>Засгийн газраас Улсын Их Хуралд 2014 оны 4 дүгээр сарын 30-ны өдөр өргөн мэдүүлсэн Монгол Улсын эдийн засаг, нийгмийг 2015 онд хөгжүүлэх үндсэн чиглэл батлах тухай Улсын Их Хурлын тогтоолын төслийн анхны хэлэлцүүлгийг Улсын Их Хурлын чуулганы 2014 оны 7 дугаар сарын 01-ний өдрийн нэгдсэн хуралдаанаар хийж, төслийг эцсийн хэлэлцүүлэгт бэлтгүүлэхээр Эдийн засгийн байнгын хороонд шилжүүлсэн.</w:t>
      </w:r>
    </w:p>
    <w:p>
      <w:pPr>
        <w:pStyle w:val="style0"/>
        <w:jc w:val="both"/>
      </w:pPr>
      <w:r>
        <w:rPr/>
      </w:r>
    </w:p>
    <w:p>
      <w:pPr>
        <w:pStyle w:val="style0"/>
        <w:jc w:val="both"/>
      </w:pPr>
      <w:r>
        <w:rPr>
          <w:b w:val="false"/>
          <w:bCs w:val="false"/>
          <w:i w:val="false"/>
          <w:iCs w:val="false"/>
          <w:lang w:val="mn-MN"/>
        </w:rPr>
        <w:tab/>
        <w:t xml:space="preserve">Ажлын хэсэг дараах танилцуулгыг Улсын Их Хурлын чуулганы нэгдсэн хуралдаанд танилцуулахаар шийдвэрлэлээ. </w:t>
      </w:r>
    </w:p>
    <w:p>
      <w:pPr>
        <w:pStyle w:val="style0"/>
        <w:jc w:val="both"/>
      </w:pPr>
      <w:r>
        <w:rPr/>
      </w:r>
    </w:p>
    <w:p>
      <w:pPr>
        <w:pStyle w:val="style0"/>
        <w:jc w:val="both"/>
      </w:pPr>
      <w:r>
        <w:rPr>
          <w:b w:val="false"/>
          <w:bCs w:val="false"/>
          <w:i w:val="false"/>
          <w:iCs w:val="false"/>
          <w:lang w:val="mn-MN"/>
        </w:rPr>
        <w:tab/>
        <w:t xml:space="preserve">Нэгдүгээрт, Монгол Улсын Их Хурлын чуулганы хуралдааны дэгийн тухай хуулийн 23.1.1-д заасны дагуу нэгдсэн хуралдааны анхны хэлэлцүүлгээр санал хурааж, олонхын дэмжлэг авсан Ховд аймгийн Эрдэнэбүрэн сумын Усан цахилгаан станцыг барьж байгуулах төслийн бэлтгэлийг хангах, техник, эдийн засгийн үндэслэл, зураг төслийг боловсруулах, төслийн нэгж ажиллуулах ажлыг эхлүүлэх гэсэн саналыг төслийн хавсралтад 6.3 дахь заалт болгон үндэслэх баримт бичиг нь Засгийн газрын үйл ажиллагааны хөтөлбөрийг хэрэгжүүлэх арга  хэмжээний төлөвлөгөөний 225 дахь хэсэг, хариуцах байгууллага нь Эрчим хүчний яам байхаар нэмж тусгалаа. </w:t>
      </w:r>
    </w:p>
    <w:p>
      <w:pPr>
        <w:pStyle w:val="style0"/>
        <w:jc w:val="both"/>
      </w:pPr>
      <w:r>
        <w:rPr/>
      </w:r>
    </w:p>
    <w:p>
      <w:pPr>
        <w:pStyle w:val="style0"/>
        <w:jc w:val="both"/>
      </w:pPr>
      <w:r>
        <w:rPr>
          <w:b w:val="false"/>
          <w:bCs w:val="false"/>
          <w:i w:val="false"/>
          <w:iCs w:val="false"/>
          <w:lang w:val="mn-MN"/>
        </w:rPr>
        <w:tab/>
        <w:t xml:space="preserve">Мөн тогтоолын төслийн хавсралтын 24.3 дахь заалтын гэрч хохирогчид туслалцаа үзүүлэх, тэднийг хамгаалах чиг үүрэг бүхий нэгжийг байгуулах зарим чиг үүргийг төрийн бус байгууллагаар гүйцэтгүүлэх гэсэн арга хэмжээг бүхэлд нь төслийн хавсралтаас хаслаа. </w:t>
      </w:r>
    </w:p>
    <w:p>
      <w:pPr>
        <w:pStyle w:val="style0"/>
        <w:jc w:val="both"/>
      </w:pPr>
      <w:r>
        <w:rPr/>
      </w:r>
    </w:p>
    <w:p>
      <w:pPr>
        <w:pStyle w:val="style0"/>
        <w:jc w:val="both"/>
      </w:pPr>
      <w:r>
        <w:rPr>
          <w:b w:val="false"/>
          <w:bCs w:val="false"/>
          <w:i w:val="false"/>
          <w:iCs w:val="false"/>
          <w:lang w:val="mn-MN"/>
        </w:rPr>
        <w:tab/>
        <w:t>Хоёр. Хууль, Улсын Их Хурлын бусад шийдвэрийн  төсөл боловсруулах, өргөн мэдүүлэх журмын тухай хуульд заасны дагуу төслийн хавсралтын 23.1 дэх хэсгийн гадаадад байгаа иргэдэд туслах сан гэснийг Засгийн газрын тусгай сангийн тухай хуультай нийцүүлэн хилийн чанадад байгаа Монгол Улсын иргэдэд туслах сан гэж өөрчлөх зэрэг төслийн агуулга, зарчмыг хөндөхгүйгээр холбогдох найруулгын засваруудыг хийлээ.</w:t>
      </w:r>
    </w:p>
    <w:p>
      <w:pPr>
        <w:pStyle w:val="style0"/>
        <w:jc w:val="both"/>
      </w:pPr>
      <w:r>
        <w:rPr/>
      </w:r>
    </w:p>
    <w:p>
      <w:pPr>
        <w:pStyle w:val="style0"/>
        <w:jc w:val="both"/>
      </w:pPr>
      <w:r>
        <w:rPr>
          <w:b w:val="false"/>
          <w:bCs w:val="false"/>
          <w:i w:val="false"/>
          <w:iCs w:val="false"/>
          <w:lang w:val="mn-MN"/>
        </w:rPr>
        <w:tab/>
        <w:t>Монгол Улсын эдийн засаг, нийгмийг 2015 онд хөгжүүлэх үндсэн чиглэл батлах тухай Улсын Их Хурлын тогтоолын төслийн эцсийн хувилбарыг та бүхэнд тараасан болно.</w:t>
      </w:r>
    </w:p>
    <w:p>
      <w:pPr>
        <w:pStyle w:val="style0"/>
        <w:jc w:val="both"/>
      </w:pPr>
      <w:r>
        <w:rPr/>
      </w:r>
    </w:p>
    <w:p>
      <w:pPr>
        <w:pStyle w:val="style0"/>
        <w:jc w:val="both"/>
      </w:pPr>
      <w:r>
        <w:rPr>
          <w:b w:val="false"/>
          <w:bCs w:val="false"/>
          <w:i w:val="false"/>
          <w:iCs w:val="false"/>
          <w:lang w:val="mn-MN"/>
        </w:rPr>
        <w:tab/>
        <w:t>Улсын Их Хурлын эрхэм гишүүд ээ,</w:t>
      </w:r>
    </w:p>
    <w:p>
      <w:pPr>
        <w:pStyle w:val="style0"/>
        <w:jc w:val="both"/>
      </w:pPr>
      <w:r>
        <w:rPr/>
      </w:r>
    </w:p>
    <w:p>
      <w:pPr>
        <w:pStyle w:val="style0"/>
        <w:jc w:val="both"/>
      </w:pPr>
      <w:r>
        <w:rPr>
          <w:b w:val="false"/>
          <w:bCs w:val="false"/>
          <w:i w:val="false"/>
          <w:iCs w:val="false"/>
          <w:lang w:val="mn-MN"/>
        </w:rPr>
        <w:tab/>
        <w:t xml:space="preserve">Монгол  Улсын эдийн засаг, нийгмийг 2015 онд хөгжүүлэх үндсэн чиглэл батлах тухай Улсын Их Хурлын тогтоолын төслийн эцсийн хэлэлцүүлгийг хийж өгөхийг та бүхнээс хүсье. </w:t>
      </w:r>
    </w:p>
    <w:p>
      <w:pPr>
        <w:pStyle w:val="style0"/>
        <w:jc w:val="both"/>
      </w:pPr>
      <w:r>
        <w:rPr/>
      </w:r>
    </w:p>
    <w:p>
      <w:pPr>
        <w:pStyle w:val="style0"/>
        <w:jc w:val="both"/>
      </w:pPr>
      <w:r>
        <w:rPr>
          <w:b w:val="false"/>
          <w:bCs w:val="false"/>
          <w:i w:val="false"/>
          <w:iCs w:val="false"/>
          <w:lang w:val="mn-MN"/>
        </w:rPr>
        <w:tab/>
        <w:t>Анхаарал тавьсанд баярлалаа. Ажлын хэсэг.</w:t>
      </w:r>
    </w:p>
    <w:p>
      <w:pPr>
        <w:pStyle w:val="style0"/>
        <w:jc w:val="both"/>
      </w:pPr>
      <w:r>
        <w:rPr/>
      </w:r>
    </w:p>
    <w:p>
      <w:pPr>
        <w:pStyle w:val="style0"/>
        <w:jc w:val="both"/>
      </w:pPr>
      <w:r>
        <w:rPr>
          <w:b w:val="false"/>
          <w:bCs w:val="false"/>
          <w:i w:val="false"/>
          <w:iCs w:val="false"/>
          <w:lang w:val="mn-MN"/>
        </w:rPr>
        <w:tab/>
        <w:t xml:space="preserve">Уг танилцуулгатай холбогдуулаад ажлын хэсгийг танилцуулъя. Ажлын хэсэг эцсийн хэлэлцүүлэг учраас уриагүй гэнэ. </w:t>
      </w:r>
    </w:p>
    <w:p>
      <w:pPr>
        <w:pStyle w:val="style0"/>
        <w:jc w:val="both"/>
      </w:pPr>
      <w:r>
        <w:rPr/>
      </w:r>
    </w:p>
    <w:p>
      <w:pPr>
        <w:pStyle w:val="style0"/>
        <w:jc w:val="both"/>
      </w:pPr>
      <w:r>
        <w:rPr>
          <w:b w:val="false"/>
          <w:bCs w:val="false"/>
          <w:i w:val="false"/>
          <w:iCs w:val="false"/>
          <w:lang w:val="mn-MN"/>
        </w:rPr>
        <w:tab/>
        <w:t xml:space="preserve">Танилцуулгатай холбогдуулан асуух асуулттай гишүүд байна уу? Алга байна. Асуулт асууж, хариулж дууслаа. Тэгээд дэгийн тухай хуулийн. </w:t>
      </w:r>
    </w:p>
    <w:p>
      <w:pPr>
        <w:pStyle w:val="style0"/>
        <w:jc w:val="both"/>
      </w:pPr>
      <w:r>
        <w:rPr/>
      </w:r>
    </w:p>
    <w:p>
      <w:pPr>
        <w:pStyle w:val="style0"/>
        <w:jc w:val="both"/>
      </w:pPr>
      <w:r>
        <w:rPr>
          <w:b w:val="false"/>
          <w:bCs w:val="false"/>
          <w:i w:val="false"/>
          <w:iCs w:val="false"/>
          <w:lang w:val="mn-MN"/>
        </w:rPr>
        <w:tab/>
        <w:t xml:space="preserve">Монгол Улсын эдийн засаг, нийгмийг 2015 онд хөгжүүлэх үндсэн чиглэл батлах тухай Улсын Их Хурлын тогтоолын төслийг эцсийн хэлэлцүүлэгт бэлтгэсэн танилцуулгыг төслийн нийт гишүүдэд тараахыг мэдэгдэж, чуулганы нэгдсэн хуралдаанд Байнгын хорооны танилцуулгыг илтгэх гишүүн Батхүү гишүүнээр томиллоо. </w:t>
      </w:r>
    </w:p>
    <w:p>
      <w:pPr>
        <w:pStyle w:val="style0"/>
        <w:jc w:val="both"/>
      </w:pPr>
      <w:r>
        <w:rPr/>
      </w:r>
    </w:p>
    <w:p>
      <w:pPr>
        <w:pStyle w:val="style0"/>
        <w:jc w:val="both"/>
      </w:pPr>
      <w:r>
        <w:rPr>
          <w:b w:val="false"/>
          <w:bCs w:val="false"/>
          <w:i w:val="false"/>
          <w:iCs w:val="false"/>
          <w:lang w:val="mn-MN"/>
        </w:rPr>
        <w:tab/>
        <w:t>Эцсийн хэлэлцүүлэг хийж дууслаа.</w:t>
      </w:r>
    </w:p>
    <w:p>
      <w:pPr>
        <w:pStyle w:val="style0"/>
        <w:jc w:val="both"/>
      </w:pPr>
      <w:r>
        <w:rPr/>
      </w:r>
    </w:p>
    <w:p>
      <w:pPr>
        <w:pStyle w:val="style0"/>
        <w:jc w:val="both"/>
      </w:pPr>
      <w:r>
        <w:rPr>
          <w:b w:val="false"/>
          <w:bCs w:val="false"/>
          <w:i w:val="false"/>
          <w:iCs w:val="false"/>
          <w:lang w:val="mn-MN"/>
        </w:rPr>
        <w:tab/>
        <w:t>Дараагийн хэлэлцэх асуудал.</w:t>
      </w:r>
    </w:p>
    <w:p>
      <w:pPr>
        <w:pStyle w:val="style0"/>
        <w:jc w:val="both"/>
      </w:pPr>
      <w:r>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-Цагаан суваргын ордын төрийн эзэмшлийг тогтоох тухай байгаа. Ганбат гишүүн. </w:t>
      </w:r>
    </w:p>
    <w:p>
      <w:pPr>
        <w:pStyle w:val="style0"/>
        <w:jc w:val="both"/>
      </w:pPr>
      <w:r>
        <w:rPr/>
      </w:r>
    </w:p>
    <w:p>
      <w:pPr>
        <w:pStyle w:val="style0"/>
        <w:jc w:val="both"/>
      </w:pPr>
      <w:r>
        <w:rPr>
          <w:b w:val="false"/>
          <w:bCs w:val="false"/>
          <w:i w:val="false"/>
          <w:iCs w:val="false"/>
          <w:lang w:val="mn-MN"/>
        </w:rPr>
        <w:tab/>
        <w:t>Цагаан суваргын ордын төрийн эзэмшлийн хувь тогтоох тухай Улсын Их Хурлын тогтоолын төслийг эцсийн хэлэлцүүлэгт бэлтгэсэн талаарх ажлын хэсгийн танилцуулгыг Улсын Их Хурлын гишүүн Д.Ганбат танилцуулна.</w:t>
      </w:r>
    </w:p>
    <w:p>
      <w:pPr>
        <w:pStyle w:val="style0"/>
        <w:jc w:val="both"/>
      </w:pPr>
      <w:r>
        <w:rPr>
          <w:b w:val="false"/>
          <w:bCs w:val="false"/>
          <w:i w:val="false"/>
          <w:iCs w:val="false"/>
          <w:lang w:val="mn-MN"/>
        </w:rPr>
        <w:t xml:space="preserve"> </w:t>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-Цагаан суваргын зэс молибдены орд нь бол Ашигт малтмалын тухай хуулийн стратегийн ордод тавигдах шалгуурт хүрээгүй. Төрийн хувийн оролцооны 34 хувьтай тэнцэх хөрөнгө оруулалтыг Засгийн газрын бонд гаргаж эзэмших боломж хязгаарлагдмал, уг ордын геологи хайгуулын ажил улсын төсвөөс гарсан зардлыг бүрэн төлж, барагдуулсан. </w:t>
      </w:r>
    </w:p>
    <w:p>
      <w:pPr>
        <w:pStyle w:val="style0"/>
        <w:jc w:val="both"/>
      </w:pPr>
      <w:r>
        <w:rPr/>
      </w:r>
    </w:p>
    <w:p>
      <w:pPr>
        <w:pStyle w:val="style0"/>
        <w:jc w:val="both"/>
      </w:pPr>
      <w:r>
        <w:rPr>
          <w:b w:val="false"/>
          <w:bCs w:val="false"/>
          <w:i w:val="false"/>
          <w:iCs w:val="false"/>
          <w:lang w:val="mn-MN"/>
        </w:rPr>
        <w:tab/>
        <w:t>Төрөөс эрдэс баялгийн салбарт баримтлах бодлогын баримт бичигт төрийн зохицуулалтыг бүртгэл зөвшөөрөл, хяналтын түвшинд төгөлдөржүүлж, ашигт малтмалын хайгуул олборлолтын үйл ажиллагаанд оролцохыг зохистой түвшинд байлгах гэж заасан зэрэг үндэс шалтгааныг иш үндэс болгосон.</w:t>
      </w:r>
    </w:p>
    <w:p>
      <w:pPr>
        <w:pStyle w:val="style0"/>
        <w:jc w:val="both"/>
      </w:pPr>
      <w:r>
        <w:rPr/>
      </w:r>
    </w:p>
    <w:p>
      <w:pPr>
        <w:pStyle w:val="style0"/>
        <w:jc w:val="both"/>
      </w:pPr>
      <w:r>
        <w:rPr>
          <w:b w:val="false"/>
          <w:bCs w:val="false"/>
          <w:i w:val="false"/>
          <w:iCs w:val="false"/>
          <w:lang w:val="mn-MN"/>
        </w:rPr>
        <w:tab/>
        <w:t xml:space="preserve">Ингээд энэ хэлэлцүүлгийг хийгээд явчихъя гэсэн ийм санал гаргаж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-Танилцуулгатай холбогдуулаад асуух асуулттай гишүүд байна уу. За Уянга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Г.Уянга: </w:t>
      </w:r>
      <w:r>
        <w:rPr>
          <w:b w:val="false"/>
          <w:bCs w:val="false"/>
          <w:i w:val="false"/>
          <w:iCs w:val="false"/>
          <w:lang w:val="mn-MN"/>
        </w:rPr>
        <w:t>-Энэ би одоо сая чуулган дээр ч гэсэн хэллээ. Энэ ингэж болохгүй ээ хүмүүс ээ. Цагаан суварга бол стратегийн ордод орж байгаа. 700 сая төгрөг өгөөд л 100 хувь эзэмшдэг одоо ийм мөнгө, эрх мэдэл, энэ одоо олигарх бүлэглэл, дээрэлхсэн ийм юм ерөөсөө орж ирж болохгүй ээ. Ерөөсөө энэ тогтоолыг Ашигт малтмалын хууль батлагдтал түр түдгэлзүүлэх ёстой гэсэн ийм байр суурьтай байна.</w:t>
      </w:r>
    </w:p>
    <w:p>
      <w:pPr>
        <w:pStyle w:val="style0"/>
        <w:jc w:val="both"/>
      </w:pPr>
      <w:r>
        <w:rPr/>
      </w:r>
    </w:p>
    <w:p>
      <w:pPr>
        <w:pStyle w:val="style0"/>
        <w:jc w:val="both"/>
      </w:pPr>
      <w:r>
        <w:rPr>
          <w:b w:val="false"/>
          <w:bCs w:val="false"/>
          <w:i w:val="false"/>
          <w:iCs w:val="false"/>
          <w:lang w:val="mn-MN"/>
        </w:rPr>
        <w:tab/>
        <w:t>Одоо Дэгийн тухай хуулиар ямар бололцоо байна. Би ямар ч байсан протоколд өөрийнхөө байр суурь, чуулганд оруулах санал, дүгнэлтэд өөрийнхөө байр суурийг тодорхой илэрхийлэн оруулмаар байна. Мөнгөний өмнө төр хүчгүй байдгийн одоо жишээг л бид нар мөн тодорхой харж байна даа.</w:t>
      </w:r>
    </w:p>
    <w:p>
      <w:pPr>
        <w:pStyle w:val="style0"/>
        <w:jc w:val="both"/>
      </w:pPr>
      <w:r>
        <w:rPr/>
      </w:r>
    </w:p>
    <w:p>
      <w:pPr>
        <w:pStyle w:val="style0"/>
        <w:jc w:val="both"/>
      </w:pPr>
      <w:r>
        <w:rPr>
          <w:b w:val="false"/>
          <w:bCs w:val="false"/>
          <w:i w:val="false"/>
          <w:iCs w:val="false"/>
          <w:lang w:val="mn-MN"/>
        </w:rPr>
        <w:tab/>
        <w:t xml:space="preserve">Ажлын хэсэг бол дэндүү хангалтгүй ажилласан. Би бас одоо энэ үндэслэлүүдийг сонсъё, ярья, хэлэлцье гэсэн. Ганбат гишүүн бол тэгээд надад нэг хэлсэн болоод л үнэндээ оролцоогүй л дээ. Төрийн мөнгөөр хайгуул хийсэн төлбөрт нь 715 сая доллар л төлсөн байгаа. Тэр бол 1997 оны тооцоогоор. Хаа байсан дэвэн галавын үеийн Энхсайхан сайд Ерөнхий сайд байх үеийн тэр тооцоо жишгээр төлбөр төлсөн байгаа. </w:t>
      </w:r>
    </w:p>
    <w:p>
      <w:pPr>
        <w:pStyle w:val="style0"/>
        <w:jc w:val="both"/>
      </w:pPr>
      <w:r>
        <w:rPr/>
      </w:r>
    </w:p>
    <w:p>
      <w:pPr>
        <w:pStyle w:val="style0"/>
        <w:jc w:val="both"/>
      </w:pPr>
      <w:r>
        <w:rPr>
          <w:b w:val="false"/>
          <w:bCs w:val="false"/>
          <w:i w:val="false"/>
          <w:iCs w:val="false"/>
          <w:lang w:val="mn-MN"/>
        </w:rPr>
        <w:tab/>
        <w:t>Хэрвээ өнөөгийн жишиг ханшаар авбал энэ одоо юу вэ. Ордын нөөцийг энэ төлсөн төлбөртэй харьцуулбал одоо ямар ялгаа зөрүү гарах вэ. Тэгэхээр одоо ийм юм бид нар нийлээд хийж болохгүй ээ ичих хэрэгтэй. Ичих хэрэгтэй Ганбат гишүүн ээ, ийм санал, дүгнэлт оруулж ингэж ерөөсөө болохгүй.</w:t>
      </w:r>
    </w:p>
    <w:p>
      <w:pPr>
        <w:pStyle w:val="style0"/>
        <w:jc w:val="both"/>
      </w:pPr>
      <w:r>
        <w:rPr/>
      </w:r>
    </w:p>
    <w:p>
      <w:pPr>
        <w:pStyle w:val="style0"/>
        <w:jc w:val="both"/>
      </w:pPr>
      <w:r>
        <w:rPr>
          <w:b w:val="false"/>
          <w:bCs w:val="false"/>
          <w:i w:val="false"/>
          <w:iCs w:val="false"/>
          <w:lang w:val="mn-MN"/>
        </w:rPr>
        <w:tab/>
        <w:t xml:space="preserve">Бид нар энэ Ашигт малтмалын хууль батлагдтал түдгэлзүүлэх ёстой гэдэг ийм санал гаргаж байна. Тэгээд болж өгвөл одоо энэ санал орох Дэгийн хуулиараа бололцоогүй байх л даа. Тэгэхдээ би одоо энэ нэг эрс эсэргүүцэж байгаагаа тэмдэглүүлээд, санал, дүгнэлтэд оруулах шаардлагатай гэж ингэж үзэж байна. </w:t>
      </w:r>
    </w:p>
    <w:p>
      <w:pPr>
        <w:pStyle w:val="style0"/>
        <w:jc w:val="both"/>
      </w:pPr>
      <w:r>
        <w:rPr/>
      </w:r>
    </w:p>
    <w:p>
      <w:pPr>
        <w:pStyle w:val="style0"/>
        <w:jc w:val="both"/>
      </w:pPr>
      <w:r>
        <w:rPr>
          <w:b w:val="false"/>
          <w:bCs w:val="false"/>
          <w:i w:val="false"/>
          <w:iCs w:val="false"/>
          <w:lang w:val="mn-MN"/>
        </w:rPr>
        <w:tab/>
        <w:t xml:space="preserve">Эрдэс баялгийн бодлого бол та сая ярилаа. Эрдэс баялгийн бодлогыг жишээ татаад байна. Бодлого бол бүртгэл хяналтын түвшинд, төрийн оролцооны тухай асуудал яг ингээд хөндөгдөж байгаа байхгүй юу. Бодлого гэж ямар ч бодлогогүй бодлого баталчихаад, тэгээд тэр хүрээндээ хайрцаглаж юмаа хийдэг, тэр хүрээнд өөрсдийнхөө  бодлогыг шахдаг ийм юм бол байж болохгүй шүү дээ. </w:t>
      </w:r>
    </w:p>
    <w:p>
      <w:pPr>
        <w:pStyle w:val="style0"/>
        <w:jc w:val="both"/>
      </w:pPr>
      <w:r>
        <w:rPr/>
      </w:r>
    </w:p>
    <w:p>
      <w:pPr>
        <w:pStyle w:val="style0"/>
        <w:jc w:val="both"/>
      </w:pPr>
      <w:r>
        <w:rPr>
          <w:b w:val="false"/>
          <w:bCs w:val="false"/>
          <w:i w:val="false"/>
          <w:iCs w:val="false"/>
          <w:lang w:val="mn-MN"/>
        </w:rPr>
        <w:tab/>
        <w:t>Бодлого дээр яг энэ төрийн оролцоо ийм юм болно гэж мэдээд энэ дээр одоо хамгийн том маргаантай байсан. Яг ийм юмаа хийх гэж л тэр заалтыг ингэж шахаж оруулсан байна л даа та нар тэгээд. Энэ бол үнэхээр одоо маш буруу зүйл болж байна гэж ингэж бодож байна.</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-Уянга гишүүн санал хэллээ. Тэрийг протоколд тэмдэглүүлье гэж байна. Тэгэхээр протоколд тэмдэглэе. За санал дууссан, санал хураалт байхгүй. </w:t>
      </w:r>
    </w:p>
    <w:p>
      <w:pPr>
        <w:pStyle w:val="style0"/>
        <w:jc w:val="both"/>
      </w:pPr>
      <w:r>
        <w:rPr/>
      </w:r>
    </w:p>
    <w:p>
      <w:pPr>
        <w:pStyle w:val="style0"/>
        <w:jc w:val="both"/>
      </w:pPr>
      <w:r>
        <w:rPr>
          <w:b w:val="false"/>
          <w:bCs w:val="false"/>
          <w:i w:val="false"/>
          <w:iCs w:val="false"/>
          <w:lang w:val="mn-MN"/>
        </w:rPr>
        <w:tab/>
        <w:t>Цагаан суваргын ордын төрийн эзэмшлийн хувь тогтоох тухай Улсын Их Хурлын тогтоолын төслийг эцсийн хэлэлцүүлэгт бэлтгэсэн танилцуулгыг төслийн хамт нийт гишүүдэд тараахыг мэдэгдэж, чуулганы нэгдсэн хуралдаанд Байнгын хорооны танилцуулгыг Ганбат гишүүн танилцуулна. Энэ асуудал дууслаа.</w:t>
      </w:r>
    </w:p>
    <w:p>
      <w:pPr>
        <w:pStyle w:val="style0"/>
        <w:jc w:val="both"/>
      </w:pPr>
      <w:r>
        <w:rPr/>
      </w:r>
    </w:p>
    <w:p>
      <w:pPr>
        <w:pStyle w:val="style0"/>
        <w:jc w:val="both"/>
      </w:pPr>
      <w:r>
        <w:rPr>
          <w:b w:val="false"/>
          <w:bCs w:val="false"/>
          <w:i w:val="false"/>
          <w:iCs w:val="false"/>
          <w:lang w:val="mn-MN"/>
        </w:rPr>
        <w:tab/>
        <w:t xml:space="preserve">Өнөөдрийн Эдийн засгийн байнгын хорооны хуралдаан үүгээр дуусч байна. Тэгээд Эдийн засгийн байнгын хорооны нийт гишүүд, ажилтнуудад талархал илэрхийлье. </w:t>
      </w:r>
    </w:p>
    <w:p>
      <w:pPr>
        <w:pStyle w:val="style0"/>
        <w:jc w:val="both"/>
      </w:pPr>
      <w:r>
        <w:rPr/>
      </w:r>
    </w:p>
    <w:p>
      <w:pPr>
        <w:pStyle w:val="style0"/>
        <w:jc w:val="both"/>
      </w:pPr>
      <w:r>
        <w:rPr>
          <w:b w:val="false"/>
          <w:bCs w:val="false"/>
          <w:i w:val="false"/>
          <w:iCs w:val="false"/>
          <w:lang w:val="mn-MN"/>
        </w:rPr>
        <w:tab/>
        <w:t xml:space="preserve">Эдийн засгийн байнгын хорооны хуралдаан дууслаа. </w:t>
      </w:r>
    </w:p>
    <w:p>
      <w:pPr>
        <w:pStyle w:val="style0"/>
        <w:jc w:val="both"/>
      </w:pPr>
      <w:r>
        <w:rPr/>
      </w:r>
    </w:p>
    <w:p>
      <w:pPr>
        <w:pStyle w:val="style0"/>
        <w:jc w:val="both"/>
      </w:pPr>
      <w:r>
        <w:rPr>
          <w:b w:val="false"/>
          <w:bCs w:val="false"/>
          <w:i w:val="false"/>
          <w:iCs w:val="false"/>
          <w:lang w:val="mn-MN"/>
        </w:rPr>
        <w:tab/>
        <w:t>Соронзон хальснаас буулгасан:</w:t>
      </w:r>
    </w:p>
    <w:p>
      <w:pPr>
        <w:pStyle w:val="style0"/>
        <w:jc w:val="both"/>
      </w:pPr>
      <w:r>
        <w:rPr>
          <w:b w:val="false"/>
          <w:bCs w:val="false"/>
          <w:i w:val="false"/>
          <w:iCs w:val="false"/>
          <w:lang w:val="mn-MN"/>
        </w:rPr>
        <w:tab/>
        <w:t>Протоколын албаны шинжээч</w:t>
        <w:tab/>
        <w:t>Д.Энэбиш</w:t>
      </w:r>
    </w:p>
    <w:p>
      <w:pPr>
        <w:pStyle w:val="style0"/>
        <w:jc w:val="both"/>
      </w:pPr>
      <w:r>
        <w:rPr>
          <w:b w:val="false"/>
          <w:bCs w:val="false"/>
          <w:i w:val="false"/>
          <w:iCs w:val="false"/>
          <w:lang w:val="mn-MN"/>
        </w:rPr>
        <w:tab/>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b w:val="false"/>
          <w:bCs w:val="false"/>
          <w:i w:val="false"/>
          <w:iCs w:val="false"/>
          <w:lang w:val="mn-MN"/>
        </w:rPr>
        <w:tab/>
        <w:t xml:space="preserve"> </w:t>
      </w:r>
    </w:p>
    <w:p>
      <w:pPr>
        <w:pStyle w:val="style0"/>
        <w:jc w:val="both"/>
      </w:pPr>
      <w:r>
        <w:rPr/>
      </w:r>
    </w:p>
    <w:p>
      <w:pPr>
        <w:pStyle w:val="style0"/>
        <w:jc w:val="center"/>
      </w:pPr>
      <w:r>
        <w:rPr/>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swiss"/>
    <w:pitch w:val="default"/>
  </w:font>
  <w:font w:name="Arial">
    <w:charset w:val="80"/>
    <w:family w:val="swiss"/>
    <w:pitch w:val="default"/>
  </w:font>
  <w:font w:name="OpenSymbol">
    <w:altName w:val="Arial Unicode MS"/>
    <w:charset w:val="8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jc w:val="center"/>
    </w:pPr>
    <w:r>
      <w:rPr/>
      <w:fldChar w:fldCharType="begin"/>
    </w:r>
    <w:r>
      <w:instrText> PAGE </w:instrText>
    </w:r>
    <w:r>
      <w:fldChar w:fldCharType="separate"/>
    </w:r>
    <w:r>
      <w:t>6</w:t>
    </w:r>
    <w:r>
      <w:fldChar w:fldCharType="end"/>
    </w:r>
  </w:p>
</w:ftr>
</file>

<file path=word/numbering.xml><?xml version="1.0" encoding="utf-8"?>
<w:numbering xmlns:w="http://schemas.openxmlformats.org/wordprocessingml/2006/main">
  <w:abstractNum w:abstractNumId="1">
    <w:lvl w:ilvl="0">
      <w:start w:val="1"/>
      <w:numFmt w:val="decimal"/>
      <w:lvlText w:val="%1."/>
      <w:lvlJc w:val="left"/>
      <w:pPr>
        <w:tabs>
          <w:tab w:pos="720" w:val="num"/>
        </w:tabs>
        <w:ind w:hanging="360" w:left="720"/>
      </w:pPr>
      <w:rPr/>
    </w:lvl>
    <w:lvl w:ilvl="1">
      <w:start w:val="1"/>
      <w:numFmt w:val="decimal"/>
      <w:lvlText w:val="%2."/>
      <w:lvlJc w:val="left"/>
      <w:pPr>
        <w:tabs>
          <w:tab w:pos="1080" w:val="num"/>
        </w:tabs>
        <w:ind w:hanging="360" w:left="1080"/>
      </w:pPr>
      <w:rPr/>
    </w:lvl>
    <w:lvl w:ilvl="2">
      <w:start w:val="1"/>
      <w:numFmt w:val="decimal"/>
      <w:lvlText w:val="%3."/>
      <w:lvlJc w:val="left"/>
      <w:pPr>
        <w:tabs>
          <w:tab w:pos="1440" w:val="num"/>
        </w:tabs>
        <w:ind w:hanging="360" w:left="1440"/>
      </w:pPr>
      <w:rPr/>
    </w:lvl>
    <w:lvl w:ilvl="3">
      <w:start w:val="1"/>
      <w:numFmt w:val="decimal"/>
      <w:lvlText w:val="%4."/>
      <w:lvlJc w:val="left"/>
      <w:pPr>
        <w:tabs>
          <w:tab w:pos="1800" w:val="num"/>
        </w:tabs>
        <w:ind w:hanging="360" w:left="1800"/>
      </w:pPr>
      <w:rPr/>
    </w:lvl>
    <w:lvl w:ilvl="4">
      <w:start w:val="1"/>
      <w:numFmt w:val="decimal"/>
      <w:lvlText w:val="%5."/>
      <w:lvlJc w:val="left"/>
      <w:pPr>
        <w:tabs>
          <w:tab w:pos="2160" w:val="num"/>
        </w:tabs>
        <w:ind w:hanging="360" w:left="2160"/>
      </w:pPr>
      <w:rPr/>
    </w:lvl>
    <w:lvl w:ilvl="5">
      <w:start w:val="1"/>
      <w:numFmt w:val="decimal"/>
      <w:lvlText w:val="%6."/>
      <w:lvlJc w:val="left"/>
      <w:pPr>
        <w:tabs>
          <w:tab w:pos="2520" w:val="num"/>
        </w:tabs>
        <w:ind w:hanging="360" w:left="2520"/>
      </w:pPr>
      <w:rPr/>
    </w:lvl>
    <w:lvl w:ilvl="6">
      <w:start w:val="1"/>
      <w:numFmt w:val="decimal"/>
      <w:lvlText w:val="%7."/>
      <w:lvlJc w:val="left"/>
      <w:pPr>
        <w:tabs>
          <w:tab w:pos="2880" w:val="num"/>
        </w:tabs>
        <w:ind w:hanging="360" w:left="2880"/>
      </w:pPr>
      <w:rPr/>
    </w:lvl>
    <w:lvl w:ilvl="7">
      <w:start w:val="1"/>
      <w:numFmt w:val="decimal"/>
      <w:lvlText w:val="%8."/>
      <w:lvlJc w:val="left"/>
      <w:pPr>
        <w:tabs>
          <w:tab w:pos="3240" w:val="num"/>
        </w:tabs>
        <w:ind w:hanging="360" w:left="3240"/>
      </w:pPr>
      <w:rPr/>
    </w:lvl>
    <w:lvl w:ilvl="8">
      <w:start w:val="1"/>
      <w:numFmt w:val="decimal"/>
      <w:lvlText w:val="%9."/>
      <w:lvlJc w:val="left"/>
      <w:pPr>
        <w:tabs>
          <w:tab w:pos="3600" w:val="num"/>
        </w:tabs>
        <w:ind w:hanging="360" w:left="3600"/>
      </w:pPr>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6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kinsoku w:val="true"/>
      <w:overflowPunct w:val="true"/>
      <w:autoSpaceDE w:val="true"/>
    </w:pPr>
    <w:rPr>
      <w:rFonts w:ascii="Arial" w:cs="Mangal" w:eastAsia="Lucida Sans Unicode" w:hAnsi="Arial"/>
      <w:color w:val="00000A"/>
      <w:sz w:val="24"/>
      <w:szCs w:val="24"/>
      <w:lang w:bidi="hi-IN" w:eastAsia="zh-CN" w:val="en-US"/>
    </w:rPr>
  </w:style>
  <w:style w:styleId="style15" w:type="character">
    <w:name w:val="Bullets"/>
    <w:next w:val="style15"/>
    <w:rPr>
      <w:rFonts w:ascii="OpenSymbol" w:cs="OpenSymbol" w:eastAsia="OpenSymbol" w:hAnsi="OpenSymbol"/>
    </w:rPr>
  </w:style>
  <w:style w:styleId="style16" w:type="character">
    <w:name w:val="Numbering Symbols"/>
    <w:next w:val="style16"/>
    <w:rPr/>
  </w:style>
  <w:style w:styleId="style17" w:type="paragraph">
    <w:name w:val="Heading"/>
    <w:basedOn w:val="style0"/>
    <w:next w:val="style18"/>
    <w:pPr>
      <w:keepNext/>
      <w:spacing w:after="120" w:before="240"/>
      <w:contextualSpacing w:val="false"/>
    </w:pPr>
    <w:rPr>
      <w:rFonts w:ascii="Arial" w:cs="Mangal" w:eastAsia="Lucida Sans Unicode"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ascii="Arial" w:cs="Mangal" w:hAnsi="Arial"/>
    </w:rPr>
  </w:style>
  <w:style w:styleId="style20" w:type="paragraph">
    <w:name w:val="Caption"/>
    <w:basedOn w:val="style0"/>
    <w:next w:val="style20"/>
    <w:pPr>
      <w:suppressLineNumbers/>
      <w:spacing w:after="120" w:before="120"/>
      <w:contextualSpacing w:val="false"/>
    </w:pPr>
    <w:rPr>
      <w:rFonts w:ascii="Arial" w:cs="Mangal" w:hAnsi="Arial"/>
      <w:i/>
      <w:iCs/>
      <w:sz w:val="24"/>
      <w:szCs w:val="24"/>
    </w:rPr>
  </w:style>
  <w:style w:styleId="style21" w:type="paragraph">
    <w:name w:val="Index"/>
    <w:basedOn w:val="style0"/>
    <w:next w:val="style21"/>
    <w:pPr>
      <w:suppressLineNumbers/>
    </w:pPr>
    <w:rPr>
      <w:rFonts w:ascii="Arial" w:cs="Mangal" w:hAnsi="Arial"/>
    </w:rPr>
  </w:style>
  <w:style w:styleId="style22" w:type="paragraph">
    <w:name w:val="Footer"/>
    <w:basedOn w:val="style0"/>
    <w:next w:val="style22"/>
    <w:pPr/>
    <w:rPr/>
  </w:style>
  <w:style w:styleId="style23" w:type="paragraph">
    <w:name w:val="List Paragraph"/>
    <w:basedOn w:val="style0"/>
    <w:next w:val="style23"/>
    <w:pPr>
      <w:spacing w:after="200" w:before="0"/>
      <w:ind w:firstLine="720" w:left="720" w:right="0"/>
      <w:contextualSpacing/>
    </w:pPr>
    <w:rPr/>
  </w:style>
  <w:style w:styleId="style24" w:type="paragraph">
    <w:name w:val="Table Contents"/>
    <w:basedOn w:val="style0"/>
    <w:next w:val="style24"/>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2014-07-09T11:46:05.10Z</dcterms:created>
  <cp:lastPrinted>2014-07-30T09:10:59.20Z</cp:lastPrinted>
  <cp:revision>0</cp:revision>
</cp:coreProperties>
</file>