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6"/>
        <w:spacing w:after="28" w:before="28"/>
        <w:contextualSpacing w:val="false"/>
      </w:pPr>
      <w:r>
        <w:rPr>
          <w:rFonts w:ascii="Calibri" w:hAnsi="Calibri"/>
          <w:lang w:val="mn-MN"/>
        </w:rPr>
      </w:r>
    </w:p>
    <w:p>
      <w:pPr>
        <w:pStyle w:val="style26"/>
        <w:spacing w:after="28" w:before="28"/>
        <w:contextualSpacing w:val="false"/>
      </w:pPr>
      <w:r>
        <w:rPr>
          <w:rFonts w:ascii="Calibri" w:hAnsi="Calibri"/>
          <w:lang w:val="mn-MN"/>
        </w:rPr>
      </w:r>
    </w:p>
    <w:p>
      <w:pPr>
        <w:pStyle w:val="style26"/>
        <w:spacing w:after="28" w:before="28"/>
        <w:contextualSpacing w:val="false"/>
      </w:pPr>
      <w:r>
        <w:rPr>
          <w:rFonts w:ascii="Calibri" w:hAnsi="Calibri"/>
          <w:lang w:val="mn-MN"/>
        </w:rPr>
      </w:r>
    </w:p>
    <w:p>
      <w:pPr>
        <w:pStyle w:val="style26"/>
        <w:spacing w:after="28" w:before="28"/>
        <w:contextualSpacing w:val="false"/>
      </w:pPr>
      <w:r>
        <w:rPr>
          <w:rFonts w:ascii="Calibri" w:hAnsi="Calibri"/>
          <w:lang w:val="mn-MN"/>
        </w:rPr>
      </w:r>
    </w:p>
    <w:p>
      <w:pPr>
        <w:pStyle w:val="style26"/>
        <w:spacing w:after="28" w:before="28"/>
        <w:contextualSpacing w:val="false"/>
      </w:pPr>
      <w:r>
        <w:rPr>
          <w:rFonts w:ascii="Calibri" w:hAnsi="Calibri"/>
          <w:lang w:val="mn-MN"/>
        </w:rPr>
      </w:r>
    </w:p>
    <w:p>
      <w:pPr>
        <w:pStyle w:val="style26"/>
        <w:spacing w:after="28" w:before="28"/>
        <w:contextualSpacing w:val="false"/>
      </w:pPr>
      <w:r>
        <w:rPr>
          <w:rFonts w:ascii="Calibri" w:hAnsi="Calibri"/>
          <w:lang w:val="mn-MN"/>
        </w:rPr>
      </w:r>
    </w:p>
    <w:p>
      <w:pPr>
        <w:pStyle w:val="style26"/>
        <w:spacing w:after="28" w:before="28"/>
        <w:contextualSpacing w:val="false"/>
      </w:pPr>
      <w:r>
        <w:rPr>
          <w:rFonts w:ascii="Calibri" w:hAnsi="Calibri"/>
          <w:lang w:val="mn-MN"/>
        </w:rPr>
      </w:r>
    </w:p>
    <w:p>
      <w:pPr>
        <w:pStyle w:val="style26"/>
        <w:spacing w:after="28" w:before="28"/>
        <w:contextualSpacing w:val="false"/>
      </w:pPr>
      <w:r>
        <w:rPr>
          <w:rFonts w:ascii="Calibri" w:hAnsi="Calibri"/>
          <w:lang w:val="mn-MN"/>
        </w:rPr>
      </w:r>
    </w:p>
    <w:p>
      <w:pPr>
        <w:pStyle w:val="style26"/>
        <w:spacing w:after="28" w:before="28"/>
        <w:contextualSpacing w:val="false"/>
      </w:pPr>
      <w:r>
        <w:rPr>
          <w:rFonts w:ascii="Calibri" w:hAnsi="Calibri"/>
          <w:lang w:val="mn-MN"/>
        </w:rPr>
      </w:r>
    </w:p>
    <w:p>
      <w:pPr>
        <w:pStyle w:val="style26"/>
        <w:spacing w:after="28" w:before="28"/>
        <w:contextualSpacing w:val="false"/>
      </w:pPr>
      <w:r>
        <w:rPr>
          <w:rFonts w:ascii="Arial" w:cs="Arial" w:hAnsi="Arial"/>
          <w:sz w:val="23"/>
          <w:szCs w:val="23"/>
        </w:rPr>
        <w:t xml:space="preserve">Монгол Улсын Их Хурлын </w:t>
      </w:r>
      <w:r>
        <w:rPr>
          <w:rFonts w:ascii="Arial" w:cs="Arial" w:hAnsi="Arial"/>
          <w:sz w:val="23"/>
          <w:szCs w:val="23"/>
          <w:lang w:val="mn-MN"/>
        </w:rPr>
        <w:t xml:space="preserve">Зургаа дахь удаагийн сонгуулиар байгуулагдсан Улсын Их Хурлын ээлжит бус чуулганы Төрийн байгуулалтын  байнгын хорооны 2012 оны 09 дүгээр сарын 11-ний өдөр </w:t>
      </w:r>
      <w:r>
        <w:rPr>
          <w:rFonts w:ascii="Arial" w:cs="Arial" w:hAnsi="Arial"/>
          <w:sz w:val="23"/>
          <w:szCs w:val="23"/>
        </w:rPr>
        <w:t>(</w:t>
      </w:r>
      <w:r>
        <w:rPr>
          <w:rFonts w:ascii="Arial" w:cs="Arial" w:hAnsi="Arial"/>
          <w:sz w:val="23"/>
          <w:szCs w:val="23"/>
          <w:lang w:val="mn-MN"/>
        </w:rPr>
        <w:t>Мягмар гариг</w:t>
      </w:r>
      <w:r>
        <w:rPr>
          <w:rFonts w:ascii="Arial" w:cs="Arial" w:hAnsi="Arial"/>
          <w:sz w:val="23"/>
          <w:szCs w:val="23"/>
        </w:rPr>
        <w:t>)</w:t>
      </w:r>
      <w:r>
        <w:rPr>
          <w:rFonts w:ascii="Arial" w:cs="Arial" w:hAnsi="Arial"/>
          <w:sz w:val="23"/>
          <w:szCs w:val="23"/>
          <w:lang w:val="mn-MN"/>
        </w:rPr>
        <w:t>-ийн хуралдаан 09.10 цагт Төрийн ордны “</w:t>
      </w:r>
      <w:r>
        <w:rPr>
          <w:rFonts w:ascii="Arial" w:cs="Arial" w:hAnsi="Arial"/>
          <w:sz w:val="23"/>
          <w:szCs w:val="23"/>
          <w:effect w:val="blinkBackground"/>
          <w:lang w:val="mn-MN"/>
        </w:rPr>
        <w:t>А</w:t>
      </w:r>
      <w:r>
        <w:rPr>
          <w:rFonts w:ascii="Arial" w:cs="Arial" w:hAnsi="Arial"/>
          <w:sz w:val="23"/>
          <w:szCs w:val="23"/>
          <w:lang w:val="mn-MN"/>
        </w:rPr>
        <w:t xml:space="preserve">” танхимд эхлэв. </w:t>
      </w:r>
    </w:p>
    <w:p>
      <w:pPr>
        <w:pStyle w:val="style27"/>
        <w:spacing w:after="28" w:before="28"/>
        <w:contextualSpacing w:val="false"/>
      </w:pPr>
      <w:r>
        <w:rPr>
          <w:rFonts w:ascii="Arial" w:cs="Arial" w:hAnsi="Arial"/>
          <w:sz w:val="23"/>
          <w:szCs w:val="23"/>
        </w:rPr>
      </w:r>
    </w:p>
    <w:p>
      <w:pPr>
        <w:pStyle w:val="style27"/>
        <w:spacing w:after="28" w:before="28"/>
        <w:contextualSpacing w:val="false"/>
      </w:pPr>
      <w:r>
        <w:rPr>
          <w:rFonts w:ascii="Arial" w:cs="Arial" w:hAnsi="Arial"/>
          <w:sz w:val="23"/>
          <w:szCs w:val="23"/>
          <w:lang w:val="mn-MN"/>
        </w:rPr>
        <w:t>Улсын Их Хурлын</w:t>
      </w:r>
      <w:r>
        <w:rPr>
          <w:rFonts w:ascii="Arial" w:cs="Arial" w:hAnsi="Arial"/>
          <w:sz w:val="23"/>
          <w:szCs w:val="23"/>
        </w:rPr>
        <w:t xml:space="preserve"> гишүүн</w:t>
      </w:r>
      <w:r>
        <w:rPr>
          <w:rFonts w:ascii="Arial" w:cs="Arial" w:hAnsi="Arial"/>
          <w:sz w:val="23"/>
          <w:szCs w:val="23"/>
          <w:lang w:val="mn-MN"/>
        </w:rPr>
        <w:t xml:space="preserve"> Р.Гончигдорж ирц, хэлэлцэх асуудлыг дарааллыг танилцуулж,</w:t>
      </w:r>
      <w:r>
        <w:rPr>
          <w:rFonts w:ascii="Arial" w:cs="Arial" w:hAnsi="Arial"/>
          <w:sz w:val="23"/>
          <w:szCs w:val="23"/>
        </w:rPr>
        <w:t xml:space="preserve"> хуралдааныг даргалав.</w:t>
      </w:r>
    </w:p>
    <w:p>
      <w:pPr>
        <w:pStyle w:val="style27"/>
        <w:spacing w:after="28" w:before="28"/>
        <w:contextualSpacing w:val="false"/>
      </w:pPr>
      <w:r>
        <w:rPr>
          <w:rFonts w:ascii="Arial" w:cs="Arial" w:hAnsi="Arial"/>
          <w:sz w:val="23"/>
          <w:szCs w:val="23"/>
          <w:lang w:val="mn-MN"/>
        </w:rPr>
      </w:r>
    </w:p>
    <w:p>
      <w:pPr>
        <w:pStyle w:val="style0"/>
        <w:ind w:firstLine="749" w:left="0" w:right="0"/>
        <w:jc w:val="both"/>
      </w:pPr>
      <w:r>
        <w:rPr>
          <w:rFonts w:cs="Arial" w:eastAsia="Calibri"/>
          <w:b/>
          <w:bCs/>
          <w:i/>
          <w:iCs/>
          <w:sz w:val="23"/>
          <w:szCs w:val="23"/>
        </w:rPr>
        <w:t xml:space="preserve">Хуралдаанд ирвэл зохих </w:t>
      </w:r>
      <w:r>
        <w:rPr>
          <w:rFonts w:cs="Arial" w:eastAsia="Calibri"/>
          <w:b/>
          <w:bCs/>
          <w:i/>
          <w:iCs/>
          <w:sz w:val="23"/>
          <w:szCs w:val="23"/>
          <w:lang w:val="mn-MN"/>
        </w:rPr>
        <w:t>16</w:t>
      </w:r>
      <w:r>
        <w:rPr>
          <w:rFonts w:cs="Arial" w:eastAsia="Calibri"/>
          <w:b/>
          <w:bCs/>
          <w:i/>
          <w:iCs/>
          <w:sz w:val="23"/>
          <w:szCs w:val="23"/>
        </w:rPr>
        <w:t xml:space="preserve"> гишүүнээс</w:t>
      </w:r>
      <w:r>
        <w:rPr>
          <w:rFonts w:cs="Arial" w:eastAsia="Calibri"/>
          <w:b/>
          <w:bCs/>
          <w:i/>
          <w:iCs/>
          <w:sz w:val="23"/>
          <w:szCs w:val="23"/>
          <w:lang w:val="mn-MN"/>
        </w:rPr>
        <w:t xml:space="preserve"> </w:t>
      </w:r>
      <w:r>
        <w:rPr>
          <w:rFonts w:cs="Arial"/>
          <w:b/>
          <w:bCs/>
          <w:i/>
          <w:iCs/>
          <w:sz w:val="23"/>
          <w:szCs w:val="23"/>
          <w:lang w:val="mn-MN"/>
        </w:rPr>
        <w:t xml:space="preserve"> 10 </w:t>
      </w:r>
      <w:r>
        <w:rPr>
          <w:rFonts w:cs="Arial" w:eastAsia="Calibri"/>
          <w:b/>
          <w:bCs/>
          <w:i/>
          <w:iCs/>
          <w:sz w:val="23"/>
          <w:szCs w:val="23"/>
        </w:rPr>
        <w:t xml:space="preserve"> гишүүн ирж, </w:t>
      </w:r>
      <w:r>
        <w:rPr>
          <w:rFonts w:cs="Arial" w:eastAsia="Calibri"/>
          <w:b/>
          <w:bCs/>
          <w:i/>
          <w:iCs/>
          <w:sz w:val="23"/>
          <w:szCs w:val="23"/>
          <w:lang w:val="mn-MN"/>
        </w:rPr>
        <w:t>56,2</w:t>
      </w:r>
      <w:r>
        <w:rPr>
          <w:rFonts w:cs="Arial"/>
          <w:b/>
          <w:bCs/>
          <w:i/>
          <w:iCs/>
          <w:sz w:val="23"/>
          <w:szCs w:val="23"/>
          <w:lang w:val="mn-MN"/>
        </w:rPr>
        <w:t xml:space="preserve">    </w:t>
      </w:r>
      <w:r>
        <w:rPr>
          <w:rFonts w:cs="Arial" w:eastAsia="Calibri"/>
          <w:b/>
          <w:bCs/>
          <w:i/>
          <w:iCs/>
          <w:sz w:val="23"/>
          <w:szCs w:val="23"/>
        </w:rPr>
        <w:t>хувийн ирцтэй байв. </w:t>
      </w:r>
    </w:p>
    <w:p>
      <w:pPr>
        <w:pStyle w:val="style27"/>
        <w:spacing w:after="28" w:before="28"/>
        <w:ind w:firstLine="749" w:left="0" w:right="0"/>
        <w:contextualSpacing w:val="false"/>
      </w:pPr>
      <w:r>
        <w:rPr>
          <w:rFonts w:ascii="Arial" w:cs="Arial" w:hAnsi="Arial"/>
          <w:b/>
          <w:bCs/>
          <w:i/>
          <w:iCs/>
          <w:sz w:val="23"/>
          <w:szCs w:val="23"/>
        </w:rPr>
        <w:t>Чөлөөтэй:</w:t>
      </w:r>
      <w:r>
        <w:rPr>
          <w:rFonts w:ascii="Arial" w:cs="Arial" w:hAnsi="Arial"/>
          <w:b/>
          <w:bCs/>
          <w:i/>
          <w:iCs/>
          <w:sz w:val="23"/>
          <w:szCs w:val="23"/>
          <w:lang w:val="mn-MN"/>
        </w:rPr>
        <w:t xml:space="preserve">  </w:t>
      </w:r>
      <w:r>
        <w:rPr>
          <w:rFonts w:ascii="Arial" w:cs="Arial" w:hAnsi="Arial"/>
          <w:bCs/>
          <w:i/>
          <w:iCs/>
          <w:sz w:val="23"/>
          <w:szCs w:val="23"/>
          <w:lang w:val="mn-MN"/>
        </w:rPr>
        <w:t>А.Бакей, М.Батчимэг, Р.Бурмаа, Б.Наранхүү</w:t>
      </w:r>
    </w:p>
    <w:p>
      <w:pPr>
        <w:pStyle w:val="style27"/>
        <w:spacing w:after="28" w:before="28"/>
        <w:ind w:firstLine="749" w:left="0" w:right="0"/>
        <w:contextualSpacing w:val="false"/>
      </w:pPr>
      <w:r>
        <w:rPr>
          <w:rFonts w:ascii="Arial" w:cs="Arial" w:hAnsi="Arial"/>
          <w:b/>
          <w:bCs/>
          <w:i/>
          <w:iCs/>
          <w:sz w:val="23"/>
          <w:szCs w:val="23"/>
          <w:lang w:val="mn-MN"/>
        </w:rPr>
        <w:t>Тасалсан</w:t>
      </w:r>
      <w:r>
        <w:rPr>
          <w:rFonts w:ascii="Arial" w:cs="Arial" w:hAnsi="Arial"/>
          <w:bCs/>
          <w:i/>
          <w:iCs/>
          <w:sz w:val="23"/>
          <w:szCs w:val="23"/>
          <w:lang w:val="mn-MN"/>
        </w:rPr>
        <w:t>:   Ж.Батзандан, Д.Бат-Эрдэнэ</w:t>
      </w:r>
    </w:p>
    <w:p>
      <w:pPr>
        <w:pStyle w:val="style0"/>
        <w:jc w:val="center"/>
      </w:pPr>
      <w:r>
        <w:rPr>
          <w:rFonts w:cs="Arial" w:eastAsia="Calibri"/>
          <w:sz w:val="23"/>
          <w:szCs w:val="23"/>
        </w:rPr>
      </w:r>
    </w:p>
    <w:p>
      <w:pPr>
        <w:pStyle w:val="style0"/>
        <w:ind w:firstLine="720" w:left="0" w:right="0"/>
        <w:jc w:val="both"/>
      </w:pPr>
      <w:r>
        <w:rPr>
          <w:rFonts w:cs="Arial" w:eastAsia="Calibri"/>
          <w:b/>
          <w:i/>
          <w:sz w:val="23"/>
          <w:szCs w:val="23"/>
          <w:lang w:val="mn-MN"/>
        </w:rPr>
        <w:t xml:space="preserve">Нэг. </w:t>
      </w:r>
      <w:r>
        <w:rPr>
          <w:b/>
          <w:i/>
          <w:lang w:val="mn-MN"/>
        </w:rPr>
        <w:t>Монгол Улсын Засгийн газрын 2012-2016 оны үйл ажиллагааны хөтөлбөр батлах тухай Улсын Их Хурлын тогтоолын төсөл /хэлэлцэх эсэх/</w:t>
      </w:r>
    </w:p>
    <w:p>
      <w:pPr>
        <w:pStyle w:val="style0"/>
        <w:ind w:firstLine="720" w:left="0" w:right="0"/>
        <w:jc w:val="both"/>
      </w:pPr>
      <w:r>
        <w:rPr>
          <w:rFonts w:cs="Arial" w:eastAsia="Calibri"/>
          <w:sz w:val="23"/>
          <w:szCs w:val="23"/>
          <w:lang w:val="mn-MN"/>
        </w:rPr>
        <w:t>Хэлэлцэж буй асуудалтай холбогдуулан</w:t>
      </w:r>
      <w:r>
        <w:rPr>
          <w:rFonts w:cs="Arial"/>
          <w:sz w:val="23"/>
          <w:szCs w:val="23"/>
          <w:lang w:val="mn-MN"/>
        </w:rPr>
        <w:t xml:space="preserve"> Монгол Улсын Ерөнхий сайд Н.Алтанхуяг, </w:t>
      </w:r>
      <w:r>
        <w:rPr>
          <w:rFonts w:cs="Arial" w:eastAsia="Calibri"/>
          <w:sz w:val="23"/>
          <w:szCs w:val="23"/>
          <w:lang w:val="mn-MN"/>
        </w:rPr>
        <w:t xml:space="preserve"> Улсын Их Хурлын Тамгын газрын Эрх зүй, хууль тогтоомжийн хэлтсийн зөвлөх </w:t>
      </w:r>
      <w:r>
        <w:rPr>
          <w:rFonts w:cs="Arial"/>
          <w:sz w:val="23"/>
          <w:szCs w:val="23"/>
          <w:lang w:val="mn-MN"/>
        </w:rPr>
        <w:t>Д.Энхбат</w:t>
      </w:r>
      <w:r>
        <w:rPr>
          <w:rFonts w:cs="Arial" w:eastAsia="Calibri"/>
          <w:sz w:val="23"/>
          <w:szCs w:val="23"/>
          <w:lang w:val="mn-MN"/>
        </w:rPr>
        <w:t xml:space="preserve">, Улсын Их Хурлын Төрийн байгуулалтын байнгын хорооны зөвлөх </w:t>
      </w:r>
      <w:r>
        <w:rPr>
          <w:rFonts w:cs="Arial" w:eastAsia="Calibri"/>
          <w:sz w:val="23"/>
          <w:szCs w:val="23"/>
          <w:effect w:val="blinkBackground"/>
          <w:lang w:val="mn-MN"/>
        </w:rPr>
        <w:t>О</w:t>
      </w:r>
      <w:r>
        <w:rPr>
          <w:rFonts w:cs="Arial" w:eastAsia="Calibri"/>
          <w:sz w:val="23"/>
          <w:szCs w:val="23"/>
          <w:lang w:val="mn-MN"/>
        </w:rPr>
        <w:t>.Тунгалаг, референт Г.Чагнаадорж</w:t>
      </w:r>
      <w:r>
        <w:rPr>
          <w:rFonts w:cs="Arial"/>
          <w:sz w:val="23"/>
          <w:szCs w:val="23"/>
          <w:lang w:val="mn-MN"/>
        </w:rPr>
        <w:t>, С.Энхцэцэг</w:t>
      </w:r>
      <w:r>
        <w:rPr>
          <w:rFonts w:cs="Arial" w:eastAsia="Calibri"/>
          <w:sz w:val="23"/>
          <w:szCs w:val="23"/>
          <w:lang w:val="mn-MN"/>
        </w:rPr>
        <w:t xml:space="preserve"> нарын бүрэлдэхүүнтэй ажлын алба байлцав. </w:t>
      </w:r>
    </w:p>
    <w:p>
      <w:pPr>
        <w:pStyle w:val="style0"/>
        <w:ind w:firstLine="720" w:left="0" w:right="0"/>
        <w:jc w:val="both"/>
      </w:pPr>
      <w:r>
        <w:rPr>
          <w:lang w:val="mn-MN"/>
        </w:rPr>
        <w:t xml:space="preserve">Монгол Улсын Засгийн газрын 2012-2016 оны үйл ажиллагааны хөтөлбөр батлах тухай Улсын Их Хурлын тогтоолын төслийг Монгол Улсын Ерөнхий сайд Норовын Алтанхуяг танилцуулав. </w:t>
      </w:r>
    </w:p>
    <w:p>
      <w:pPr>
        <w:pStyle w:val="style0"/>
        <w:ind w:firstLine="720" w:left="0" w:right="0"/>
        <w:jc w:val="both"/>
      </w:pPr>
      <w:r>
        <w:rPr>
          <w:lang w:val="mn-MN"/>
        </w:rPr>
        <w:t xml:space="preserve">Уг асуудалтай холбогдуулан Улсын Их Хурлын гишүүн Н.Батцэрэг асуулт асууж, Монгол Улсын Ерөнхий  сайд Н.Алтанхуяг хариулж, нэмэлт тайлбар хийв. </w:t>
      </w:r>
    </w:p>
    <w:p>
      <w:pPr>
        <w:pStyle w:val="style0"/>
        <w:ind w:firstLine="720" w:left="0" w:right="0"/>
        <w:jc w:val="both"/>
      </w:pPr>
      <w:r>
        <w:rPr>
          <w:lang w:val="mn-MN"/>
        </w:rPr>
        <w:t xml:space="preserve">Улсын Их Хурлын гишүүн Н.Батцэрэг, С.Баярцогт нар санал хэлэв. </w:t>
      </w:r>
    </w:p>
    <w:p>
      <w:pPr>
        <w:pStyle w:val="style0"/>
        <w:ind w:firstLine="720" w:left="0" w:right="0"/>
        <w:jc w:val="both"/>
      </w:pPr>
      <w:r>
        <w:rPr>
          <w:b/>
          <w:lang w:val="mn-MN"/>
        </w:rPr>
        <w:t>Р.Гончигдорж</w:t>
      </w:r>
      <w:r>
        <w:rPr>
          <w:lang w:val="mn-MN"/>
        </w:rPr>
        <w:t>: Монгол Улсын Засгийн газрын 2012-2016 оны үйл ажиллагааны хөтөлбөр батлах тухай Улсын Их Хурлын тогтоолын төслийг хэлэлцэх нь зүйтэй гэсэн саналыг дэмжиж байгаа гишүүд гараа өргөнө үү.</w:t>
      </w:r>
    </w:p>
    <w:p>
      <w:pPr>
        <w:pStyle w:val="style0"/>
        <w:spacing w:after="0" w:before="0" w:line="100" w:lineRule="atLeast"/>
        <w:contextualSpacing w:val="false"/>
        <w:jc w:val="both"/>
      </w:pPr>
      <w:r>
        <w:rPr>
          <w:lang w:val="mn-MN"/>
        </w:rPr>
        <w:tab/>
        <w:t>Зөвшөөрсөн: 10</w:t>
      </w:r>
    </w:p>
    <w:p>
      <w:pPr>
        <w:pStyle w:val="style0"/>
        <w:spacing w:after="0" w:before="0" w:line="100" w:lineRule="atLeast"/>
        <w:ind w:firstLine="720" w:left="0" w:right="0"/>
        <w:contextualSpacing w:val="false"/>
        <w:jc w:val="both"/>
      </w:pPr>
      <w:r>
        <w:rPr>
          <w:lang w:val="mn-MN"/>
        </w:rPr>
        <w:t xml:space="preserve">Татгалзсан: </w:t>
        <w:tab/>
        <w:t>0</w:t>
      </w:r>
    </w:p>
    <w:p>
      <w:pPr>
        <w:pStyle w:val="style0"/>
        <w:spacing w:after="0" w:before="0" w:line="100" w:lineRule="atLeast"/>
        <w:ind w:hanging="0" w:left="720" w:right="0"/>
        <w:contextualSpacing w:val="false"/>
        <w:jc w:val="both"/>
      </w:pPr>
      <w:r>
        <w:rPr>
          <w:lang w:val="mn-MN"/>
        </w:rPr>
        <w:t xml:space="preserve">Бүгд </w:t>
        <w:tab/>
        <w:tab/>
        <w:t>10</w:t>
      </w:r>
    </w:p>
    <w:p>
      <w:pPr>
        <w:pStyle w:val="style0"/>
        <w:spacing w:after="0" w:before="0" w:line="100" w:lineRule="atLeast"/>
        <w:ind w:hanging="0" w:left="720" w:right="0"/>
        <w:contextualSpacing w:val="false"/>
        <w:jc w:val="both"/>
      </w:pPr>
      <w:r>
        <w:rPr>
          <w:lang w:val="mn-MN"/>
        </w:rPr>
        <w:t>Гишүүдийн олонхийн саналаар дэмжигдлээ.</w:t>
      </w:r>
    </w:p>
    <w:p>
      <w:pPr>
        <w:pStyle w:val="style0"/>
        <w:spacing w:after="0" w:before="0"/>
        <w:ind w:firstLine="567" w:left="0" w:right="0"/>
        <w:contextualSpacing w:val="false"/>
        <w:jc w:val="both"/>
      </w:pPr>
      <w:r>
        <w:rPr>
          <w:lang w:val="mn-MN"/>
        </w:rPr>
        <w:t>Байнгын хорооноос гарах санал, дүгнэлтийг Улсын Их Хурлын чуулганы нэгдсэн хуралдаанд Улсын Их Хурлын гишүүн Р.Гончигдорж танилцуулахаар тогтов.</w:t>
      </w:r>
    </w:p>
    <w:p>
      <w:pPr>
        <w:pStyle w:val="style0"/>
        <w:spacing w:after="0" w:before="0"/>
        <w:ind w:firstLine="567" w:left="0" w:right="0"/>
        <w:contextualSpacing w:val="false"/>
        <w:jc w:val="both"/>
      </w:pPr>
      <w:r>
        <w:rPr>
          <w:lang w:val="mn-MN"/>
        </w:rPr>
      </w:r>
    </w:p>
    <w:p>
      <w:pPr>
        <w:pStyle w:val="style0"/>
        <w:jc w:val="both"/>
      </w:pPr>
      <w:r>
        <w:rPr>
          <w:lang w:val="mn-MN"/>
        </w:rPr>
        <w:tab/>
      </w:r>
      <w:r>
        <w:rPr>
          <w:b/>
          <w:lang w:val="mn-MN"/>
        </w:rPr>
        <w:t xml:space="preserve">Хуралдаан 9 цаг 30 минутад өндөрлөв. </w:t>
      </w:r>
    </w:p>
    <w:p>
      <w:pPr>
        <w:pStyle w:val="style0"/>
        <w:jc w:val="both"/>
      </w:pPr>
      <w:r>
        <w:rPr>
          <w:b/>
          <w:lang w:val="mn-MN"/>
        </w:rPr>
      </w:r>
    </w:p>
    <w:p>
      <w:pPr>
        <w:pStyle w:val="style0"/>
        <w:jc w:val="both"/>
      </w:pPr>
      <w:r>
        <w:rPr>
          <w:b/>
          <w:lang w:val="mn-MN"/>
        </w:rPr>
      </w:r>
    </w:p>
    <w:p>
      <w:pPr>
        <w:pStyle w:val="style28"/>
        <w:ind w:firstLine="720" w:left="0" w:right="0"/>
        <w:jc w:val="both"/>
      </w:pPr>
      <w:r>
        <w:rPr>
          <w:rFonts w:ascii="Arial" w:cs="Arial" w:hAnsi="Arial"/>
          <w:b w:val="false"/>
          <w:bCs w:val="false"/>
          <w:sz w:val="23"/>
          <w:szCs w:val="23"/>
          <w:lang w:val="ms-MY"/>
        </w:rPr>
        <w:t xml:space="preserve">Тэмдэглэлтэй танилцсан: </w:t>
      </w:r>
    </w:p>
    <w:p>
      <w:pPr>
        <w:pStyle w:val="style28"/>
        <w:jc w:val="both"/>
      </w:pPr>
      <w:r>
        <w:rPr>
          <w:rFonts w:ascii="Arial" w:cs="Arial" w:hAnsi="Arial"/>
          <w:b w:val="false"/>
          <w:bCs w:val="false"/>
          <w:sz w:val="23"/>
          <w:szCs w:val="23"/>
          <w:lang w:val="ms-MY"/>
        </w:rPr>
        <w:tab/>
      </w:r>
      <w:r>
        <w:rPr>
          <w:rFonts w:ascii="Arial" w:cs="Arial" w:hAnsi="Arial"/>
          <w:b w:val="false"/>
          <w:bCs w:val="false"/>
          <w:sz w:val="23"/>
          <w:szCs w:val="23"/>
          <w:lang w:val="mn-MN"/>
        </w:rPr>
        <w:t xml:space="preserve">ТӨРИЙН БАЙГУУЛАЛТЫН </w:t>
      </w:r>
    </w:p>
    <w:p>
      <w:pPr>
        <w:pStyle w:val="style28"/>
        <w:jc w:val="both"/>
      </w:pPr>
      <w:r>
        <w:rPr>
          <w:rFonts w:ascii="Arial" w:cs="Arial" w:hAnsi="Arial"/>
          <w:b w:val="false"/>
          <w:bCs w:val="false"/>
          <w:sz w:val="23"/>
          <w:szCs w:val="23"/>
          <w:lang w:val="mn-MN"/>
        </w:rPr>
        <w:tab/>
        <w:t>БАЙНГЫН ХОРООНЫ ДАРГА</w:t>
      </w:r>
      <w:r>
        <w:rPr>
          <w:rFonts w:ascii="Arial" w:cs="Arial" w:hAnsi="Arial"/>
          <w:b w:val="false"/>
          <w:bCs w:val="false"/>
          <w:sz w:val="23"/>
          <w:szCs w:val="23"/>
          <w:lang w:val="ms-MY"/>
        </w:rPr>
        <w:tab/>
        <w:tab/>
        <w:tab/>
        <w:tab/>
        <w:tab/>
      </w:r>
      <w:r>
        <w:rPr>
          <w:rFonts w:ascii="Arial" w:cs="Arial" w:hAnsi="Arial"/>
          <w:b w:val="false"/>
          <w:bCs w:val="false"/>
          <w:sz w:val="23"/>
          <w:szCs w:val="23"/>
          <w:effect w:val="blinkBackground"/>
          <w:lang w:val="mn-MN"/>
        </w:rPr>
        <w:t>А</w:t>
      </w:r>
      <w:r>
        <w:rPr>
          <w:rFonts w:ascii="Arial" w:cs="Arial" w:hAnsi="Arial"/>
          <w:b w:val="false"/>
          <w:bCs w:val="false"/>
          <w:sz w:val="23"/>
          <w:szCs w:val="23"/>
          <w:lang w:val="mn-MN"/>
        </w:rPr>
        <w:t>.</w:t>
      </w:r>
      <w:r>
        <w:rPr>
          <w:rFonts w:ascii="Arial" w:cs="Arial" w:hAnsi="Arial"/>
          <w:b w:val="false"/>
          <w:bCs w:val="false"/>
          <w:sz w:val="23"/>
          <w:szCs w:val="23"/>
          <w:effect w:val="blinkBackground"/>
          <w:lang w:val="mn-MN"/>
        </w:rPr>
        <w:t>БАКЕЙ</w:t>
      </w:r>
    </w:p>
    <w:p>
      <w:pPr>
        <w:pStyle w:val="style28"/>
        <w:jc w:val="both"/>
      </w:pPr>
      <w:r>
        <w:rPr>
          <w:rFonts w:ascii="Arial" w:cs="Arial" w:hAnsi="Arial"/>
          <w:b w:val="false"/>
          <w:bCs w:val="false"/>
          <w:sz w:val="23"/>
          <w:szCs w:val="23"/>
          <w:lang w:val="ms-MY"/>
        </w:rPr>
        <w:tab/>
      </w:r>
    </w:p>
    <w:p>
      <w:pPr>
        <w:pStyle w:val="style28"/>
        <w:ind w:firstLine="720" w:left="0" w:right="0"/>
        <w:jc w:val="both"/>
      </w:pPr>
      <w:r>
        <w:rPr>
          <w:rFonts w:ascii="Arial" w:cs="Arial" w:hAnsi="Arial"/>
          <w:b w:val="false"/>
          <w:bCs w:val="false"/>
          <w:sz w:val="23"/>
          <w:szCs w:val="23"/>
          <w:lang w:val="mn-MN"/>
        </w:rPr>
      </w:r>
    </w:p>
    <w:p>
      <w:pPr>
        <w:pStyle w:val="style28"/>
        <w:ind w:firstLine="720" w:left="0" w:right="0"/>
        <w:jc w:val="both"/>
      </w:pPr>
      <w:r>
        <w:rPr>
          <w:rFonts w:ascii="Arial" w:cs="Arial" w:hAnsi="Arial"/>
          <w:b w:val="false"/>
          <w:bCs w:val="false"/>
          <w:sz w:val="23"/>
          <w:szCs w:val="23"/>
          <w:lang w:val="mn-MN"/>
        </w:rPr>
      </w:r>
    </w:p>
    <w:p>
      <w:pPr>
        <w:pStyle w:val="style28"/>
        <w:ind w:firstLine="720" w:left="0" w:right="0"/>
        <w:jc w:val="both"/>
      </w:pPr>
      <w:r>
        <w:rPr>
          <w:rFonts w:ascii="Arial" w:cs="Arial" w:hAnsi="Arial"/>
          <w:b w:val="false"/>
          <w:bCs w:val="false"/>
          <w:sz w:val="23"/>
          <w:szCs w:val="23"/>
          <w:lang w:val="ms-MY"/>
        </w:rPr>
        <w:t xml:space="preserve">Тэмдэглэл хөтөлсөн: </w:t>
      </w:r>
    </w:p>
    <w:p>
      <w:pPr>
        <w:pStyle w:val="style28"/>
        <w:jc w:val="both"/>
      </w:pPr>
      <w:r>
        <w:rPr>
          <w:rFonts w:ascii="Arial" w:cs="Arial" w:hAnsi="Arial"/>
          <w:b w:val="false"/>
          <w:bCs w:val="false"/>
          <w:sz w:val="23"/>
          <w:szCs w:val="23"/>
          <w:lang w:val="ms-MY"/>
        </w:rPr>
        <w:tab/>
        <w:t>ХУРАЛДААНЫ ТЭМДЭГЛЭЛ</w:t>
      </w:r>
    </w:p>
    <w:p>
      <w:pPr>
        <w:pStyle w:val="style28"/>
        <w:jc w:val="both"/>
      </w:pPr>
      <w:r>
        <w:rPr>
          <w:rFonts w:ascii="Arial" w:cs="Arial" w:hAnsi="Arial"/>
          <w:b w:val="false"/>
          <w:bCs w:val="false"/>
          <w:sz w:val="23"/>
          <w:szCs w:val="23"/>
          <w:lang w:val="ms-MY"/>
        </w:rPr>
        <w:tab/>
        <w:t>ХӨТЛӨГЧ</w:t>
        <w:tab/>
        <w:tab/>
        <w:tab/>
        <w:tab/>
        <w:tab/>
        <w:tab/>
        <w:tab/>
        <w:tab/>
      </w:r>
      <w:r>
        <w:rPr>
          <w:rFonts w:ascii="Arial" w:cs="Arial" w:hAnsi="Arial"/>
          <w:b w:val="false"/>
          <w:bCs w:val="false"/>
          <w:sz w:val="23"/>
          <w:szCs w:val="23"/>
          <w:lang w:val="mn-MN"/>
        </w:rPr>
        <w:t>Д.ЦЭНДСҮРЭН</w:t>
      </w:r>
    </w:p>
    <w:p>
      <w:pPr>
        <w:pStyle w:val="style0"/>
        <w:ind w:firstLine="720" w:left="0" w:right="0"/>
        <w:jc w:val="both"/>
      </w:pPr>
      <w:r>
        <w:rPr>
          <w:lang w:val="mn-MN"/>
        </w:rPr>
      </w:r>
    </w:p>
    <w:p>
      <w:pPr>
        <w:pStyle w:val="style0"/>
        <w:jc w:val="both"/>
      </w:pPr>
      <w:r>
        <w:rPr>
          <w:b/>
          <w:lang w:val="mn-MN"/>
        </w:rPr>
      </w:r>
    </w:p>
    <w:p>
      <w:pPr>
        <w:pStyle w:val="style0"/>
        <w:jc w:val="both"/>
      </w:pPr>
      <w:r>
        <w:rPr>
          <w:b/>
          <w:lang w:val="mn-MN"/>
        </w:rPr>
      </w:r>
    </w:p>
    <w:p>
      <w:pPr>
        <w:pStyle w:val="style0"/>
        <w:jc w:val="both"/>
      </w:pPr>
      <w:r>
        <w:rPr>
          <w:b/>
          <w:lang w:val="mn-MN"/>
        </w:rPr>
      </w:r>
    </w:p>
    <w:p>
      <w:pPr>
        <w:pStyle w:val="style0"/>
        <w:jc w:val="both"/>
      </w:pPr>
      <w:r>
        <w:rPr>
          <w:b/>
          <w:lang w:val="mn-MN"/>
        </w:rPr>
      </w:r>
    </w:p>
    <w:p>
      <w:pPr>
        <w:pStyle w:val="style0"/>
        <w:jc w:val="both"/>
      </w:pPr>
      <w:r>
        <w:rPr>
          <w:b/>
          <w:lang w:val="mn-MN"/>
        </w:rPr>
      </w:r>
    </w:p>
    <w:p>
      <w:pPr>
        <w:pStyle w:val="style0"/>
        <w:jc w:val="both"/>
      </w:pPr>
      <w:r>
        <w:rPr>
          <w:b/>
          <w:lang w:val="mn-MN"/>
        </w:rPr>
      </w:r>
    </w:p>
    <w:p>
      <w:pPr>
        <w:pStyle w:val="style0"/>
        <w:jc w:val="both"/>
      </w:pPr>
      <w:r>
        <w:rPr>
          <w:b/>
          <w:lang w:val="mn-MN"/>
        </w:rPr>
      </w:r>
    </w:p>
    <w:p>
      <w:pPr>
        <w:pStyle w:val="style0"/>
        <w:jc w:val="both"/>
      </w:pPr>
      <w:r>
        <w:rPr>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t xml:space="preserve">МОНГОЛ УЛСЫН ИХ ХУРЛЫН ЗУРГАА ДАХЬ УДААГИЙН СОНГУУЛИАР БАЙГУУЛАГДСАН УЛСЫН ИХ ХУРЛЫН ЭЭЛЖИТ БУС ЧУУЛГАНЫ ТӨРИЙН БАЙГУУЛАЛТЫН БАЙНГЫН ХОРООНЫ 2012 ОНЫ 09 ДҮГЭЭР САРЫН 11-НИЙ ӨДӨР </w:t>
      </w:r>
      <w:r>
        <w:rPr>
          <w:rFonts w:cs="Arial"/>
          <w:b/>
        </w:rPr>
        <w:t>(</w:t>
      </w:r>
      <w:r>
        <w:rPr>
          <w:rFonts w:cs="Arial"/>
          <w:b/>
          <w:lang w:val="mn-MN"/>
        </w:rPr>
        <w:t>МЯГМАР ГАРИГ</w:t>
      </w:r>
      <w:r>
        <w:rPr>
          <w:rFonts w:cs="Arial"/>
          <w:b/>
        </w:rPr>
        <w:t>)</w:t>
      </w:r>
      <w:r>
        <w:rPr>
          <w:rFonts w:cs="Arial"/>
          <w:b/>
          <w:lang w:val="mn-MN"/>
        </w:rPr>
        <w:t>-ИЙН ХУРАЛДААНЫ</w:t>
      </w:r>
    </w:p>
    <w:p>
      <w:pPr>
        <w:pStyle w:val="style28"/>
      </w:pPr>
      <w:r>
        <w:rPr>
          <w:rFonts w:ascii="Arial" w:cs="Arial" w:hAnsi="Arial"/>
          <w:lang w:val="mn-MN"/>
        </w:rPr>
        <w:t>ДЭЛГЭРЭНГҮЙ ТЭМДЭГЛЭЛ</w:t>
      </w:r>
    </w:p>
    <w:p>
      <w:pPr>
        <w:pStyle w:val="style0"/>
        <w:jc w:val="both"/>
      </w:pPr>
      <w:r>
        <w:rPr>
          <w:b/>
          <w:lang w:val="mn-MN"/>
        </w:rPr>
      </w:r>
    </w:p>
    <w:p>
      <w:pPr>
        <w:pStyle w:val="style0"/>
        <w:ind w:firstLine="720" w:left="0" w:right="0"/>
        <w:jc w:val="both"/>
      </w:pPr>
      <w:r>
        <w:rPr>
          <w:b/>
          <w:lang w:val="mn-MN"/>
        </w:rPr>
        <w:t>Р.Гончигдорж</w:t>
      </w:r>
      <w:r>
        <w:rPr>
          <w:lang w:val="mn-MN"/>
        </w:rPr>
        <w:t>: Улсын Их Хурлын Төрийн байгуулалтын байнгын хорооны 2012 оны 9 дүгээр сарын 11-ний өдрийн хуралдааныг эхлүүлж байна.</w:t>
      </w:r>
    </w:p>
    <w:p>
      <w:pPr>
        <w:pStyle w:val="style0"/>
        <w:jc w:val="both"/>
      </w:pPr>
      <w:r>
        <w:rPr>
          <w:lang w:val="mn-MN"/>
        </w:rPr>
        <w:tab/>
        <w:t xml:space="preserve">Нийт 16 гишүүнээс 9 гишүүн ирсэн. З гишүүн гадаадад томилолттой байгаа. Ирц бүрдсэн учраас  хуралдааныг эхлүүлж байна. Байнгын хорооны  энэ удаагийн хуралдаанаар  нэг асуудлыг хэлэлцэхээр төлөвлөсөн. </w:t>
      </w:r>
    </w:p>
    <w:p>
      <w:pPr>
        <w:pStyle w:val="style0"/>
        <w:jc w:val="both"/>
      </w:pPr>
      <w:r>
        <w:rPr>
          <w:lang w:val="mn-MN"/>
        </w:rPr>
        <w:tab/>
        <w:t xml:space="preserve">Монгол Улсын Засгийн газраас өргөн мэдүүлсэн Монгол Улсын Засгийн газрын 2012-2016 оны үйл ажиллагааны хөтөлбөрийг батлах тухай Улсын Их Хурлын  тогтоолын төслийг хэлэлцэх ийм  хуралдааны хэлэлцэх асуудлын төлөвлөгөө байна. </w:t>
      </w:r>
    </w:p>
    <w:p>
      <w:pPr>
        <w:pStyle w:val="style0"/>
        <w:jc w:val="both"/>
      </w:pPr>
      <w:r>
        <w:rPr>
          <w:lang w:val="mn-MN"/>
        </w:rPr>
        <w:tab/>
        <w:t xml:space="preserve">Энэ асуудал дээр өөр саналтай гишүүн байна уу? Хэлэлцэх асуудлаа батлах уу? баталъя гэсэн гишүүд гараа өргөе.  Баярлалаа. </w:t>
      </w:r>
    </w:p>
    <w:p>
      <w:pPr>
        <w:pStyle w:val="style0"/>
        <w:jc w:val="both"/>
      </w:pPr>
      <w:r>
        <w:rPr>
          <w:lang w:val="mn-MN"/>
        </w:rPr>
        <w:tab/>
        <w:t xml:space="preserve">Хэлэлцэх асуудлаа баталлаа. </w:t>
      </w:r>
    </w:p>
    <w:p>
      <w:pPr>
        <w:pStyle w:val="style0"/>
        <w:ind w:firstLine="720" w:left="0" w:right="0"/>
        <w:jc w:val="both"/>
      </w:pPr>
      <w:r>
        <w:rPr>
          <w:b/>
          <w:lang w:val="mn-MN"/>
        </w:rPr>
        <w:t>Монгол Улсын Засгийн газраас өргөн мэдүүлсэн Монгол Улсын Засгийн газрын 2012-2016 оны үйл ажиллагааны хөтөлбөрийг батлах тухай Улсын Их Хурлын  тогтоолын төсөл /Хэлэлцэх эсэх/</w:t>
      </w:r>
    </w:p>
    <w:p>
      <w:pPr>
        <w:pStyle w:val="style0"/>
        <w:jc w:val="both"/>
      </w:pPr>
      <w:r>
        <w:rPr>
          <w:lang w:val="mn-MN"/>
        </w:rPr>
        <w:tab/>
        <w:t xml:space="preserve">Монгол Улсын Засгийн газрын 2012-2016 оны үйл ажиллагааны хөтөлбөр батлах тухай Улсын Их Хурлын тогтоолын төслийг Монгол Улсын Ерөнхий сайд Норовын Алтанхуяг танилцуулна. </w:t>
      </w:r>
    </w:p>
    <w:p>
      <w:pPr>
        <w:pStyle w:val="style0"/>
        <w:jc w:val="both"/>
      </w:pPr>
      <w:r>
        <w:rPr>
          <w:lang w:val="mn-MN"/>
        </w:rPr>
        <w:tab/>
      </w:r>
      <w:r>
        <w:rPr>
          <w:b/>
          <w:lang w:val="mn-MN"/>
        </w:rPr>
        <w:t>Н.Алтанхуяг</w:t>
      </w:r>
      <w:r>
        <w:rPr>
          <w:lang w:val="mn-MN"/>
        </w:rPr>
        <w:t xml:space="preserve">:  Эрхэм гишүүдийн өглөөний амгаланг айлтгая.  Их Хурлын 2012 оны сонгуулийн үр дүнд шинээр байгуулагдсан Монгол Улсын Засгийн газар үндэсний эрх ашгийг дээдэлж, хувь хүн, өрх гэрийн хөгжлийг эрхэмлэж, баялгийг бүтээгч, эрх чөлөөт иргэдийн хариуцлагатай нийгмийг  төлөвшүүлэх зорилгоор нотолж, хүний жам ёсны заяагдмал эрх, хувийн өмч, төрийн хязгаарлагдмал оролцоо, төрийн нээлттэй иргэдэд хянагддаг тогтолцоо, иргэний нээлттэй нийгэм, жендерийн тэгш байдал зэрэг тулгуур үнэт зүйлсийг шалгуур болгож,  Монголын төрийн бодлогын залгамж чанарыг эрхэмлэж,  иргэдээ ажилтай, орлоготой болгох, хүнд суртал авлигыг устгах, үүрэг хариуцлагыг дээшлүүлэх, их бүтээн байгуулалтыг өрнүүлэх, баялгийн шударга хуваарилалтад түлхүү анхаарах цаг ирснийг тунхаглаж, Ардчилсан намын монгол хүн хөтөлбөрийг үндэслээд, Иргэний зориг ногоон намын амьдрал хөтөлбөр, МАХН-Монгол үндэсний ардчилсан намын Шударга ёс эвслийн Монголоо аврах 5 хувьсгал хөтөлбөр, Улсын Их Хуралд бие даан сонгогдсон гишүүдийн зарим тодорхой саналуудыг тусгаж, энэ хөтөлбөрийн төслийг боловсрууллаа. </w:t>
      </w:r>
    </w:p>
    <w:p>
      <w:pPr>
        <w:pStyle w:val="style0"/>
        <w:jc w:val="both"/>
      </w:pPr>
      <w:r>
        <w:rPr>
          <w:lang w:val="mn-MN"/>
        </w:rPr>
        <w:tab/>
        <w:t>Үүний зэрэгцээ бид  Монгол Улсын мянганы хөгжлийн зорилтод суурилсан үндэсний хөгжлийн цогц бодлого, төрийн болон төрийн  бус байгууллагуудын санал, хувийн хэвшил, иргэдийн төлөөллийн санал, Монгол Улсын Засгийн газраас олон улсын байгууллагуудтай өмнөх жилүүдэд байгуулсан гэрээ хэлэлцээр зэргийг үндэслэж үзсэн  болно.</w:t>
      </w:r>
    </w:p>
    <w:p>
      <w:pPr>
        <w:pStyle w:val="style0"/>
        <w:jc w:val="both"/>
      </w:pPr>
      <w:r>
        <w:rPr>
          <w:lang w:val="mn-MN"/>
        </w:rPr>
        <w:tab/>
        <w:t>Засгийн газрын үйл ажиллагааны хөтөлбөрт дэвшүүлсэн зорилтот арга хэмжээ, иргэн хүний хүртэх үр ашиг, нийгэмд гарах үр дүнгийн өөрчлөлтүүдийг тусгаснаараа өмнөх хөтөлбөрүүдээс онцлогтой, лоозонгийн шинжтэй юм бол үндсэндээ ороогүй, хийж бүтээх, арга хэмжээний зүйлийг  тодорхой зааж өгсөн. Мөн хөтөлбөрийн  нэг онцлог нь 2012-2016 онд хийх шинэчлэлийн зорилт арга хэмжээг хэрэгжүүлэх зарчим, үйл ажиллагааг тодорхой эрэмбэлж өгсөн учраас хэрэгжих бүрэн боломжтой гэж үзэж байгаа юм.</w:t>
      </w:r>
    </w:p>
    <w:p>
      <w:pPr>
        <w:pStyle w:val="style0"/>
        <w:jc w:val="both"/>
      </w:pPr>
      <w:r>
        <w:rPr>
          <w:lang w:val="mn-MN"/>
        </w:rPr>
        <w:tab/>
        <w:t>Энэ хөтөлбөр 5 бүлэгтэй. Ажил орлоготой монгол хүн, эрүүл чийрэг монгол хүн, эрдэм боловсролтой монгол хүн, аюулгүй орчинтой монгол хүн, эрх чөлөөтэй монгол хүн гэсэн ийм 5 бүлгийн хүрээнд  эмхэлж, цэгцэлсэн. Энэ хүрээндээ бид нар  хүн амын үндсэн хэрэгцээг тогтвортой хангахуйц өөрийгөө тэтгэсэн, олон улсын зах зээлд өрсөлдөх чадвартай эдийн засгийг бүрдүүлэхэд чиглэсэн төсөв, санхүү, мөнгөний бодлогыг хэрэгжүүлэх, иргэдээ ажилтай, орлоготой болгох гол зорилт байгаа учраас хөдөлмөрийн насны иргэдээ ажлын байраар хангах, авдаг цалин хөлс нь амьдрал ахуйд нь хүрэлцдэг болох, хавтгайрсан халамжийн бодлогоос татгалзаж, халамж шаардлагатай, зорилтот бүлгүүдээ дэмжих, уул уурхайн салбараас хэт хамаарсан байдлыг аажимдаа бууруулах, урт хугацааны тогтвортой хөгжлийг хангах, өрсөлдөх чадвартай солонгорсон эдийн засгийг бий болгох, төр, хувийн хэвшлийн түншлэлийг шинэ шатанд гаргаж, бизнесийн ээлтэй орчинг бүрдүүлэх, шударга өрсөлдөөн сонголтод суурилсан чанартай эрүүл мэндийн оношлогоо эмчилгээ үйлчилгээ авах боломжийг иргэн бүрт олгох, Монголын онцлогтой, тэгээд олон улсын стандартад нийцсэн хөрвөх чадвартай боловсролыг Монгол эх орондоо олж авах, эзэмшсэн мэдлэг мэргэжлээрээ ажил хөдөлмөр эрхлэх  боломжтой байх, Монгол соёл, өв уламжлал, их спорт, биеийн тамирыг хөгжүүлж,  Монгол эх орныхоо нэр хүндийг дэлхийд улам мандуулах, байгаль дэлхийтэйгээ зохицон амьдарч, байгалийн нөөцийг тогтвортой ашиглах, нөхөн сэргээх, хүрээлэн байгаа орчныг хамгаалах, ногоон хөгжлийн бодлогыг нийгэм, эдийн засгийнхаа бодлоготой нягт уялдуулж, экологийн тэнцвэртэй аюулгүй орчинд амьдарч, ажиллах нөхцөлийг бүрдүүлэх, төр, засгийг олон түмэнд нээлттэй тунгалаг болгож,  хариуцлага хяналтыг төрийн үйл ажиллагааны үндсэн зарчим болгон мөрдүүлэх, хүнд сурталгүй, авлигагаас ангид төрийн үйлчилгээг бий болгох, төрийн албыг нийтийн алба, төрийн үйлчилгээг нийтийн үйлчилгээ болгон өөрчилж, хуулиа дээдэлж, хүн бүр эх орондоо аймаг, оршин суугаа газар, сум орондоо эрх тэгш сайхан амьдрах нөхцөл бололцоог бүрдүүлэхээр тодорхойлсон болно. Засгийн газрын үйл ажиллагааны  хөтөлбөрт дэвшүүлсэн зорилт, үйл ажиллагаа бүрэн хэрэгжсэнээр монгол хүн ажилтай, орлоготой, эрдэм боловсролтой, эрүүл чийрэг байж, эх орондоо эрх чөлөөтэй, аюулгүй орчинд ажиллаж амьдрах  нөхцөл боломж нь бүрдэх юм.</w:t>
      </w:r>
    </w:p>
    <w:p>
      <w:pPr>
        <w:pStyle w:val="style0"/>
        <w:jc w:val="both"/>
      </w:pPr>
      <w:r>
        <w:rPr>
          <w:lang w:val="mn-MN"/>
        </w:rPr>
        <w:tab/>
        <w:t xml:space="preserve">Засгийн газрын үйл ажиллагааны хөтөлбөрийн олон томоохон арга хэмжээ, шинэтгэлүүдийг тусгасан баримт бичиг болсон бөгөөд, үйл ажиллагааны зорилтуудыг 4 жилийн хугацаанд биелүүлэхийн тулд төрийн шатны бүх байгууллага, албан тушаалтнууд өндөр ачаалалтай ажиллахаар байгаа юм.  Тийм учраас томоохон шинэтгэлүүдийг улс төрийн хүчнүүдийн нягт хамтын ажиллагаа, нийгмийн идэвхтэй  дэмжлэг, оролцоотой, олон түмний дэмжлэг оролцоотойгоор хэрэгжүүлэхээр төлөвлөж байна. </w:t>
      </w:r>
    </w:p>
    <w:p>
      <w:pPr>
        <w:pStyle w:val="style0"/>
        <w:jc w:val="both"/>
      </w:pPr>
      <w:r>
        <w:rPr>
          <w:lang w:val="mn-MN"/>
        </w:rPr>
        <w:tab/>
        <w:t>Анхаарал тавьсанд баярлалаа. Та бүхэнд бүх материалыг тараасан байгаа.</w:t>
      </w:r>
    </w:p>
    <w:p>
      <w:pPr>
        <w:pStyle w:val="style0"/>
        <w:jc w:val="both"/>
      </w:pPr>
      <w:r>
        <w:rPr>
          <w:lang w:val="mn-MN"/>
        </w:rPr>
        <w:tab/>
      </w:r>
      <w:r>
        <w:rPr>
          <w:b/>
          <w:lang w:val="mn-MN"/>
        </w:rPr>
        <w:t>Р.Гончигдорж</w:t>
      </w:r>
      <w:r>
        <w:rPr>
          <w:lang w:val="mn-MN"/>
        </w:rPr>
        <w:t>: Ерөнхий сайдад баярлалаа.</w:t>
      </w:r>
    </w:p>
    <w:p>
      <w:pPr>
        <w:pStyle w:val="style0"/>
        <w:jc w:val="both"/>
      </w:pPr>
      <w:r>
        <w:rPr>
          <w:lang w:val="mn-MN"/>
        </w:rPr>
        <w:tab/>
        <w:t xml:space="preserve">Орж ирж байгаа асуудал, Ерөнхий сайдын хийсэн танилцуулгатай холбогдуулж асуух асуулттай гишүүд байвал асуултаа асууя. </w:t>
      </w:r>
    </w:p>
    <w:p>
      <w:pPr>
        <w:pStyle w:val="style0"/>
        <w:jc w:val="both"/>
      </w:pPr>
      <w:r>
        <w:rPr>
          <w:lang w:val="mn-MN"/>
        </w:rPr>
        <w:tab/>
        <w:t>Батцэрэг гишүүн</w:t>
      </w:r>
    </w:p>
    <w:p>
      <w:pPr>
        <w:pStyle w:val="style0"/>
        <w:jc w:val="both"/>
      </w:pPr>
      <w:r>
        <w:rPr>
          <w:lang w:val="mn-MN"/>
        </w:rPr>
        <w:tab/>
      </w:r>
      <w:r>
        <w:rPr>
          <w:b/>
          <w:lang w:val="mn-MN"/>
        </w:rPr>
        <w:t>Н.Батцэрэг</w:t>
      </w:r>
      <w:r>
        <w:rPr>
          <w:lang w:val="mn-MN"/>
        </w:rPr>
        <w:t>: Сая танилцуулга хэсэг дээр нэг зүйл асууя. Төрийн хязгаарлагдмал оролцоо гэж байна. Ер нь төр ямар хэмжээтэй эдийн засгийнхаа амьдралд оролцох вэ гэдэг дээр их л олон янзын маргаантай маягаар асуудалд ханддаг. Чухам дээрээ өнгөрсөн жилүүдийг аваад үзэхэд бас ч гэж нэлээд оролцоод яваад ирсэн. Би  бол төрийн хязүгаарлагдмал оролцоо гэдгийг Ерөнхий сайд задлаад, тайлбарлавал би дараад нь товчхон үг хэлэх гэсэн юм. Ерөнхий сайдыг сонсчихоод үг хэлье гэж бодож байна. Төрийн хязгаарлагдмал оролцоо.</w:t>
      </w:r>
    </w:p>
    <w:p>
      <w:pPr>
        <w:pStyle w:val="style0"/>
        <w:jc w:val="both"/>
      </w:pPr>
      <w:r>
        <w:rPr>
          <w:lang w:val="mn-MN"/>
        </w:rPr>
        <w:tab/>
      </w:r>
      <w:r>
        <w:rPr>
          <w:b/>
          <w:lang w:val="mn-MN"/>
        </w:rPr>
        <w:t>Р.Гончигдорж</w:t>
      </w:r>
      <w:r>
        <w:rPr>
          <w:lang w:val="mn-MN"/>
        </w:rPr>
        <w:t>: Баярлалаа. Батцэрэг гишүүнээр асуулт таслагдсан.  Ерөнхий сайд.</w:t>
      </w:r>
    </w:p>
    <w:p>
      <w:pPr>
        <w:pStyle w:val="style0"/>
        <w:jc w:val="both"/>
      </w:pPr>
      <w:r>
        <w:rPr>
          <w:lang w:val="mn-MN"/>
        </w:rPr>
        <w:tab/>
      </w:r>
      <w:r>
        <w:rPr>
          <w:b/>
          <w:lang w:val="mn-MN"/>
        </w:rPr>
        <w:t>Н.Алтанхуяг</w:t>
      </w:r>
      <w:r>
        <w:rPr>
          <w:lang w:val="mn-MN"/>
        </w:rPr>
        <w:t xml:space="preserve">: Мөрийн хөтөлбөрт энэ чиглэлээр олон заалтууд бий. Тэр нь онолын  шинжтэй гэхээсээ илүү би практик дээр яаж буусан бэ гэдгээр нь хэдэн үг хэлье гэж бодож байна.  Ер нь байгаа хандлага нь бүх юманд төр оролцдог гэсэн  тэр дотроо хувийн хэвшил, иргэний нийгэм, иргэдийн өөрсдийнх нь  идэвхи чармайлт, оролцооны үндсэн дээр хийж болох тэр ажлуудад төр оролцоод байх шаардлагагүй юм. Тэгэхдээ энэ нь төрийн оролцоог бүрэн үгүйсгэсэн хэрэг биш юм. Тухайлбал бид нар иргэдийн амьдралд нэлээн нөлөөлөхүйц үүргийг гүйцэтгэдэг, тэр дотроо монгол улсад тухайлбал, гаднаас авч байгаа бензин, дизелийн түлш, нефть бүтээгдэхүүн энэ маань зөвхөн нэг орноос хамааралтай байдалтай байгаа. </w:t>
      </w:r>
    </w:p>
    <w:p>
      <w:pPr>
        <w:pStyle w:val="style0"/>
        <w:jc w:val="both"/>
      </w:pPr>
      <w:r>
        <w:rPr>
          <w:lang w:val="mn-MN"/>
        </w:rPr>
        <w:tab/>
        <w:t>Тийм учраас энэ дээр тодорхой хэмжээгээр төрийн оролцоо буюу төр өөрөө шаардлагатай нөхцөлд яаж хувийн хэвшилтэйгээ хамтарч ажиллах юм бэ? шаардлагатай нөхцөлд нөөцийг яаж бүрдүүлэх юм бэ гэх жишээтэй асуултууд энд нэлээн өргөн тусч орсон. Энэ бол зөвхөн нефть бүтээгдэхүүн биш, жишээ нь мах энэ хоёр дээр үндсэндээ нэлээн тодорхой  зохицолдолгоо, оролцоог хийж өгөх нь зүйтэй юм. Бусад төрлийн юман дээр заавал оролцоод байх шаардлагагүй, аль болохоор чөлөөт өрсөлдөөнийг нь хангаж өгөх, чөлөөт өрсөлдөөнийг бий болгосноор, хөхүүлснээр тэр нь  зах зээл дээрээ боломжийн үнэ тогтох, чанар сайжрах, тэр зах зээлийнхээ агуулгаар олон зүйл явна гэж ингэж үзсэн байгаа.</w:t>
      </w:r>
    </w:p>
    <w:p>
      <w:pPr>
        <w:pStyle w:val="style0"/>
        <w:jc w:val="both"/>
      </w:pPr>
      <w:r>
        <w:rPr>
          <w:lang w:val="mn-MN"/>
        </w:rPr>
        <w:tab/>
      </w:r>
      <w:r>
        <w:rPr>
          <w:b/>
          <w:lang w:val="mn-MN"/>
        </w:rPr>
        <w:t>Р.Гончигдорж</w:t>
      </w:r>
      <w:r>
        <w:rPr>
          <w:lang w:val="mn-MN"/>
        </w:rPr>
        <w:t xml:space="preserve">: санал хэлэх гишүүд саналаа хэлье. Батцэрэг, Баярцогт гишүүдээр саналаа тасаллаа. </w:t>
      </w:r>
    </w:p>
    <w:p>
      <w:pPr>
        <w:pStyle w:val="style0"/>
        <w:jc w:val="both"/>
      </w:pPr>
      <w:r>
        <w:rPr>
          <w:lang w:val="mn-MN"/>
        </w:rPr>
        <w:tab/>
      </w:r>
      <w:r>
        <w:rPr>
          <w:b/>
          <w:lang w:val="mn-MN"/>
        </w:rPr>
        <w:t>Н.Батцэрэг</w:t>
      </w:r>
      <w:r>
        <w:rPr>
          <w:lang w:val="mn-MN"/>
        </w:rPr>
        <w:t xml:space="preserve">: Би саяны асуусан  асуулттайгаа холбогдуулаад цөөн зүйл  хэлье гэж бодож байна. Сүүлийн үед төрийг хязгаарлагдмал оролцоотой байлгана гэдгийн дор төрийн үүрэг, ролийг үгүйсгэдэг, төрийг адалдаг,  төрийг жижигхэн ТҮЦ-ний үйлчилгээ шиг маягаар ойлгуулахыг хүсдэг тийм байдал нэлээн их байдаг. Яг нарийндаа бид нар дорнын, азийн улс. Азийн ард түмэн, монголчуудын төрийг ойлгох философи сэтгэлгээнд төрийг их сүсэлж, төрийн тухай ойлголт бол яахав субъект, объектив янз бүрийн хүчин зүйтэй байдаг ч гэсэн төрд өөрийнхөө амьдралыг, тэр байтугай амийг даатгаад л явдаг, төрийн минь сүлд өршөө гэдэг чинь зүгээр нэг хэлээгүй. </w:t>
      </w:r>
    </w:p>
    <w:p>
      <w:pPr>
        <w:pStyle w:val="style0"/>
        <w:ind w:firstLine="720" w:left="0" w:right="0"/>
        <w:jc w:val="both"/>
      </w:pPr>
      <w:r>
        <w:rPr>
          <w:lang w:val="mn-MN"/>
        </w:rPr>
        <w:t>Бид нар сүүлийн үед энэ төрийн хязгаарлагдмал оролцоог зөвхөн эдийн засагт оролцох, зөвхөн төсвөөр дамжин оролцох тэр хэсэг дээр нь төрийн оролцоог ойлгодог юм шиг, түүгээр дамжаад төрийг дандаа нэр томъёо, хэлж байгаа зүйлүүд бол Монголын төрийг адалсан, доош нь хийсэн, хэтэрхий их хязгаарлах гэж оролдсон ийм байдал руу яваад байгаа юм. Би хувьдаа үүнийг буруу юм уу гэж боддог юм. Монгол Улс шиг нийгмийн хөгжлийн түвшин нь одоогийн энэ байгаа шиг ийм хэмжээнд байгаа. Аж үйлдвэржилтийн тийм хувьсгал явагдаагүй,  ийм орны тухайд төр ялангуяа Засгийн газрын хүчтэй оролцоотой байж, эрчимтэй хөгжлийн зам дээр гардаг юм байна, бусад улс орнуудын жишиг ч тийм байна. Тэгээд ч энэ хөтөлбөрийг уншаад үзэхэд төр бол нэлээн оролцоотой байхаар байгаа юм. Сая Ерөнхий сайд өөрөө хэллээ. Нефтийн бүтээгдэхүүний импортыг төр мэдэлдээ авах, зарим гол нэрийн хүнсний бараа бүтээгдэхүүний үнэ зохицуулахад оролцох гэдэг бол төрийн нэлээн хүчтэй оролцоо байгаа нь харагдаж байна.</w:t>
      </w:r>
    </w:p>
    <w:p>
      <w:pPr>
        <w:pStyle w:val="style0"/>
        <w:jc w:val="both"/>
      </w:pPr>
      <w:r>
        <w:rPr>
          <w:lang w:val="mn-MN"/>
        </w:rPr>
        <w:tab/>
        <w:t xml:space="preserve">Ер нь төв Засгийн газар нь хаана хүчтэй, зохистой оролцоотой байж чадаж байна? тийм газруудад ядуурал буурч байна, тийм газруудад бүс нутгийн зөрчил бага байна. Манайд бол шашин хоорондын янз бүрийн зөрчил байхгүй юм, тийм газруудад дэлхийн энгээр харах юм бол шашин хоорондын зөрчлөө хүртэл бусад том зөрчлүүдээ хүртэл даваад туулаад явж чадаж байна. Бид нарын өмнө хамгийн том проблем нь нийгмийн олон жилийн тулгамдсан тэр асуудлууд байдаг. Ядуурал, гуйланчлал, гэмт хэргийн хүндхэн байгаа нөхцөл байдал, олон түмний төрд итгэх итгэл бол бас жаахан сулраад байна уу даа гэсэн өнгө аястай зүйлүүд, төрийн институцуудын  харилцан эрх мэдлийн балансжсан, эрх үүргийн нэгдэлтэй тийм сайн ажиллагаа дутмаг байнаа гэж олон нийт шүүмжилдэг шүү дээ. Яг эндээс нь би бол төрийн хязгаарлагдмал гэхээсээ илүү төрийн зохист оролцоо өнөөдөр хэрэгтэй байгаа. Засгийн газар хүчтэй байж үйл ажиллагаагаа явуулах тийм шаардлага Монголын өнөөдрийн нийгмийн хөгжлийн түвшин, эдийн засгийн байдал, ер нь  бол дэлхийн цаг үеийн хандлагатай гэсэн холбогдон гарч ирж байгаа гэж би хувьдаа үздэг. </w:t>
      </w:r>
    </w:p>
    <w:p>
      <w:pPr>
        <w:pStyle w:val="style0"/>
        <w:jc w:val="both"/>
      </w:pPr>
      <w:r>
        <w:rPr>
          <w:lang w:val="mn-MN"/>
        </w:rPr>
        <w:tab/>
        <w:t xml:space="preserve">Тэгээд хязгаарлагдмал харилцаа, энэ чинь юм болгон дээр дараад нь төрийг хязгаарлана, төрийг жаахан хазаарлаж байна гээд ингээд оролцоод яваад байна. Ийм ойлголт л яваад байдаг  юм. Тэгэхээр төрийн хязгаарлагдмал биш, төрийн зохистой оролцоо гэж солимоор санагдаж байгаа юм. Ийм маягаар зохист оролцоо нь ямар байх юм гэж үзээд явах юм бол хязгаарлагдмал гэсэн үгнээс  илүү өөр утгатайгаар бууна гэж хувьдаа үзэж байна. </w:t>
      </w:r>
    </w:p>
    <w:p>
      <w:pPr>
        <w:pStyle w:val="style0"/>
        <w:jc w:val="both"/>
      </w:pPr>
      <w:r>
        <w:rPr>
          <w:lang w:val="mn-MN"/>
        </w:rPr>
        <w:tab/>
        <w:t>Бүхэлдээ бол мэдээж хөтөлбөрийг дэмжиж байна. Хэлэлцүүлгийн явцад  Шударга ёс эвслийн  бүлгийн зүгээс өөрийн гэсэн оруулах саналууд байгаа. Бид нарын саналуудаас орсон байгаа, гэхдээ  нэр томъёоллын хувьд улам чамбайруулах, илүү тодорхой болгох шаардлагатай байгаа. Түүнийг нь цаг үед нь санал хураалгах журамаар хэлээд явъя. Баярлалаа.</w:t>
      </w:r>
    </w:p>
    <w:p>
      <w:pPr>
        <w:pStyle w:val="style0"/>
        <w:jc w:val="both"/>
      </w:pPr>
      <w:r>
        <w:rPr>
          <w:lang w:val="mn-MN"/>
        </w:rPr>
        <w:tab/>
      </w:r>
      <w:r>
        <w:rPr>
          <w:b/>
          <w:lang w:val="mn-MN"/>
        </w:rPr>
        <w:t>Р.Гончигдорж</w:t>
      </w:r>
      <w:r>
        <w:rPr>
          <w:lang w:val="mn-MN"/>
        </w:rPr>
        <w:t>: Баярлалаа. Баярцогт гишүүн</w:t>
      </w:r>
    </w:p>
    <w:p>
      <w:pPr>
        <w:pStyle w:val="style0"/>
        <w:jc w:val="both"/>
      </w:pPr>
      <w:r>
        <w:rPr>
          <w:lang w:val="mn-MN"/>
        </w:rPr>
        <w:tab/>
      </w:r>
      <w:r>
        <w:rPr>
          <w:b/>
          <w:lang w:val="mn-MN"/>
        </w:rPr>
        <w:t>С.Баярцогт</w:t>
      </w:r>
      <w:r>
        <w:rPr>
          <w:lang w:val="mn-MN"/>
        </w:rPr>
        <w:t>:  Та бүхэндээ энэ өглөөний мэндийг хүргэе. Улсын Их Хурлын сонгуулийн хуулийн 34.6-д, сонгуульд олонхи суудал авсан нам, эвслийн сонгуулийн мөрийн хөтөлбөр нь тухайн сонгуулийн үр дүнд байгуулагдсан Улсын Их Хурлаас байгуулах, Засгийн газрын үйл ажиллагааны мөрийн хөтөлбөрийн үндэс болно гэж заасан байгаа.</w:t>
      </w:r>
    </w:p>
    <w:p>
      <w:pPr>
        <w:pStyle w:val="style0"/>
        <w:jc w:val="both"/>
      </w:pPr>
      <w:r>
        <w:rPr>
          <w:lang w:val="mn-MN"/>
        </w:rPr>
        <w:tab/>
        <w:t>Ер нь цаашдаа Засгийн газрын мөрийн хөтөлбөрийг хэлэлцэх асуудлыг маш түргэн, шуурхай, богино хугацаанд хийх хэрэгтэй. Тэртэй, тэргүй 2012 оны сонгуулийн үр дүнгээр ард түмэн Ардчилсан нам, МАХН, Монгол үндэсний ардчилсан нам, Иргэний Зориг, Ногоон намын  эвсэлд итгэлээ өгсөн учраас  Ардчилсан намын монгол хүн хөтөлбөр, МАХН, Монголын үндэсний ардчилсан намын  шударга ёс эвслийн Монголоо авраах 5 хувьсгал, Иргэний Зориг Ногоон намын Амьдрал  хөтөлбөр дээр суурилсан учраас бид нар үүнээс өөр шинэ зүйлийг олж, хэрэгжүүлж, ярих шаардлагагүй. Дээрээс нь Засгийн газрын мөрийн хөтөлбөрийг Улсын Их Хурлын бүх Байнгын хороогоор, өөр өөрийнхөө салбараар хэлэлцэж, үг, үсэг, найрлага, тодорхой зарим нэгийг илүү их задлах ч юм уу? яагаад гэвэл зарим нэг заалтууд нь шинэчилнэ, шинэчлэлийг үргэлжлүүлнэ, эхлүүлнэ гэсэн ерөнхий хэлбэртэй байгаа учраас үүнийг ярилцах бололцоо гарна, тийм учраас Засгийн газрын мөрийн хөтөлбөрийн хэлэлцүүлгийн хэлэлцэх эсэхийг одоо шууд шийдвэрлэх нь зүйтэй гэсэн ийм саналыг оруулж байна. Баярлалаа.</w:t>
      </w:r>
    </w:p>
    <w:p>
      <w:pPr>
        <w:pStyle w:val="style0"/>
        <w:jc w:val="both"/>
      </w:pPr>
      <w:r>
        <w:rPr>
          <w:lang w:val="mn-MN"/>
        </w:rPr>
        <w:tab/>
      </w:r>
      <w:r>
        <w:rPr>
          <w:b/>
          <w:lang w:val="mn-MN"/>
        </w:rPr>
        <w:t>Р.Гончигдорж</w:t>
      </w:r>
      <w:r>
        <w:rPr>
          <w:lang w:val="mn-MN"/>
        </w:rPr>
        <w:t>: Гишүүд саналаа хэлж дууслаа.</w:t>
      </w:r>
    </w:p>
    <w:p>
      <w:pPr>
        <w:pStyle w:val="style0"/>
        <w:jc w:val="both"/>
      </w:pPr>
      <w:r>
        <w:rPr>
          <w:lang w:val="mn-MN"/>
        </w:rPr>
        <w:tab/>
        <w:t>Санал хураалтад оръё.</w:t>
      </w:r>
    </w:p>
    <w:p>
      <w:pPr>
        <w:pStyle w:val="style0"/>
        <w:jc w:val="both"/>
      </w:pPr>
      <w:r>
        <w:rPr>
          <w:lang w:val="mn-MN"/>
        </w:rPr>
        <w:tab/>
        <w:t>Монгол Улсын Засгийн газрын 2012-2016 оны үйл ажиллагааны хөтөлбөр батлах тухай Улсын Их Хурлын тогтоолын төслийг хэлэлцэх нь зүйтэй гэсэн саналыг дэмжиж байгаа гишүүд гараа өргөнө үү.</w:t>
      </w:r>
    </w:p>
    <w:p>
      <w:pPr>
        <w:pStyle w:val="style0"/>
        <w:jc w:val="both"/>
      </w:pPr>
      <w:r>
        <w:rPr>
          <w:lang w:val="mn-MN"/>
        </w:rPr>
        <w:tab/>
        <w:t>10-10. Хэлэлцэх нь зүйтэй гэж Байнгын хорооны гишүүд 100 хувийн саналаар дэмжлээ.</w:t>
      </w:r>
    </w:p>
    <w:p>
      <w:pPr>
        <w:pStyle w:val="style0"/>
        <w:jc w:val="both"/>
      </w:pPr>
      <w:r>
        <w:rPr>
          <w:lang w:val="mn-MN"/>
        </w:rPr>
      </w:r>
    </w:p>
    <w:p>
      <w:pPr>
        <w:pStyle w:val="style0"/>
        <w:jc w:val="both"/>
      </w:pPr>
      <w:r>
        <w:rPr>
          <w:lang w:val="mn-MN"/>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Р.Гончигдорж танилцуулахаар тогтов.</w:t>
      </w:r>
    </w:p>
    <w:p>
      <w:pPr>
        <w:pStyle w:val="style0"/>
        <w:jc w:val="both"/>
      </w:pPr>
      <w:r>
        <w:rPr>
          <w:lang w:val="mn-MN"/>
        </w:rPr>
        <w:tab/>
      </w:r>
      <w:r>
        <w:rPr>
          <w:b/>
          <w:lang w:val="mn-MN"/>
        </w:rPr>
        <w:t xml:space="preserve">Хуралдаан 9 цаг 30 минутад өндөрлөв. </w:t>
      </w:r>
    </w:p>
    <w:p>
      <w:pPr>
        <w:pStyle w:val="style0"/>
        <w:jc w:val="both"/>
      </w:pPr>
      <w:r>
        <w:rPr>
          <w:lang w:val="mn-MN"/>
        </w:rPr>
      </w:r>
    </w:p>
    <w:p>
      <w:pPr>
        <w:pStyle w:val="style0"/>
        <w:jc w:val="both"/>
      </w:pPr>
      <w:r>
        <w:rPr>
          <w:lang w:val="mn-MN"/>
        </w:rPr>
        <w:tab/>
        <w:t>Соронзон хальснаас буулгасан:</w:t>
        <w:tab/>
      </w:r>
    </w:p>
    <w:p>
      <w:pPr>
        <w:pStyle w:val="style0"/>
        <w:jc w:val="both"/>
      </w:pPr>
      <w:r>
        <w:rPr>
          <w:lang w:val="mn-MN"/>
        </w:rPr>
        <w:tab/>
        <w:t>ХУРАЛДААНЫ ТЭМДЭГЛЭЛ</w:t>
      </w:r>
    </w:p>
    <w:p>
      <w:pPr>
        <w:pStyle w:val="style0"/>
        <w:jc w:val="both"/>
      </w:pPr>
      <w:r>
        <w:rPr>
          <w:lang w:val="mn-MN"/>
        </w:rPr>
        <w:tab/>
        <w:t>ХӨТЛӨГЧ:</w:t>
        <w:tab/>
        <w:tab/>
        <w:tab/>
        <w:tab/>
        <w:tab/>
        <w:tab/>
        <w:tab/>
        <w:tab/>
        <w:t>Д.ЦЭНДСҮРЭН</w:t>
      </w:r>
    </w:p>
    <w:sectPr>
      <w:footerReference r:id="rId2" w:type="default"/>
      <w:type w:val="nextPage"/>
      <w:pgSz w:h="16838" w:w="11906"/>
      <w:pgMar w:bottom="1134" w:footer="709" w:gutter="0" w:header="0" w:left="1928" w:right="680"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 w:name="Calibri">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center"/>
    </w:pPr>
    <w:r>
      <w:rPr/>
      <w:fldChar w:fldCharType="begin"/>
    </w:r>
    <w:r>
      <w:instrText> PAGE </w:instrText>
    </w:r>
    <w:r>
      <w:fldChar w:fldCharType="separate"/>
    </w:r>
    <w:r>
      <w:t>8</w:t>
    </w:r>
    <w:r>
      <w:fldChar w:fldCharType="end"/>
    </w:r>
  </w:p>
  <w:p>
    <w:pPr>
      <w:pStyle w:val="style30"/>
    </w:pPr>
    <w:r>
      <w:rPr/>
    </w:r>
  </w:p>
</w:ftr>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Body Text Indent Char"/>
    <w:basedOn w:val="style15"/>
    <w:next w:val="style16"/>
    <w:rPr>
      <w:rFonts w:ascii="Arial Mon" w:cs="Times New Roman" w:eastAsia="Times New Roman" w:hAnsi="Arial Mon"/>
      <w:b/>
      <w:bCs/>
      <w:i/>
      <w:iCs/>
      <w:sz w:val="24"/>
      <w:szCs w:val="24"/>
    </w:rPr>
  </w:style>
  <w:style w:styleId="style17" w:type="character">
    <w:name w:val="Body Text Indent 3 Char"/>
    <w:basedOn w:val="style15"/>
    <w:next w:val="style17"/>
    <w:rPr>
      <w:rFonts w:ascii="Arial Mon" w:cs="Times New Roman" w:eastAsia="Times New Roman" w:hAnsi="Arial Mon"/>
      <w:sz w:val="24"/>
      <w:szCs w:val="24"/>
    </w:rPr>
  </w:style>
  <w:style w:styleId="style18" w:type="character">
    <w:name w:val="Title Char"/>
    <w:basedOn w:val="style15"/>
    <w:next w:val="style18"/>
    <w:rPr>
      <w:rFonts w:ascii="Arial Mon" w:cs="Times New Roman" w:eastAsia="Times New Roman" w:hAnsi="Arial Mon"/>
      <w:b/>
      <w:bCs/>
      <w:sz w:val="24"/>
      <w:szCs w:val="24"/>
    </w:rPr>
  </w:style>
  <w:style w:styleId="style19" w:type="character">
    <w:name w:val="Header Char"/>
    <w:basedOn w:val="style15"/>
    <w:next w:val="style19"/>
    <w:rPr/>
  </w:style>
  <w:style w:styleId="style20" w:type="character">
    <w:name w:val="Footer Char"/>
    <w:basedOn w:val="style15"/>
    <w:next w:val="style20"/>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Text Body Indent"/>
    <w:basedOn w:val="style0"/>
    <w:next w:val="style26"/>
    <w:pPr>
      <w:spacing w:after="28" w:before="28" w:line="100" w:lineRule="atLeast"/>
      <w:ind w:firstLine="748" w:left="0" w:right="0"/>
      <w:contextualSpacing w:val="false"/>
      <w:jc w:val="both"/>
    </w:pPr>
    <w:rPr>
      <w:rFonts w:ascii="Arial Mon" w:cs="Times New Roman" w:eastAsia="Times New Roman" w:hAnsi="Arial Mon"/>
      <w:b/>
      <w:bCs/>
      <w:i/>
      <w:iCs/>
      <w:sz w:val="24"/>
      <w:szCs w:val="24"/>
    </w:rPr>
  </w:style>
  <w:style w:styleId="style27" w:type="paragraph">
    <w:name w:val="Body Text Indent 3"/>
    <w:basedOn w:val="style0"/>
    <w:next w:val="style27"/>
    <w:pPr>
      <w:spacing w:after="28" w:before="28" w:line="100" w:lineRule="atLeast"/>
      <w:ind w:firstLine="748" w:left="0" w:right="0"/>
      <w:contextualSpacing w:val="false"/>
      <w:jc w:val="both"/>
    </w:pPr>
    <w:rPr>
      <w:rFonts w:ascii="Arial Mon" w:cs="Times New Roman" w:eastAsia="Times New Roman" w:hAnsi="Arial Mon"/>
      <w:sz w:val="24"/>
      <w:szCs w:val="24"/>
    </w:rPr>
  </w:style>
  <w:style w:styleId="style28" w:type="paragraph">
    <w:name w:val="Title"/>
    <w:basedOn w:val="style0"/>
    <w:next w:val="style28"/>
    <w:pPr>
      <w:spacing w:after="0" w:before="0" w:line="100" w:lineRule="atLeast"/>
      <w:contextualSpacing w:val="false"/>
      <w:jc w:val="center"/>
    </w:pPr>
    <w:rPr>
      <w:rFonts w:ascii="Arial Mon" w:cs="Times New Roman" w:eastAsia="Times New Roman" w:hAnsi="Arial Mon"/>
      <w:b/>
      <w:bCs/>
      <w:sz w:val="24"/>
      <w:szCs w:val="24"/>
    </w:rPr>
  </w:style>
  <w:style w:styleId="style29" w:type="paragraph">
    <w:name w:val="Header"/>
    <w:basedOn w:val="style0"/>
    <w:next w:val="style29"/>
    <w:pPr>
      <w:tabs>
        <w:tab w:leader="none" w:pos="4680" w:val="center"/>
        <w:tab w:leader="none" w:pos="9360" w:val="right"/>
      </w:tabs>
      <w:spacing w:after="0" w:before="0" w:line="100" w:lineRule="atLeast"/>
      <w:contextualSpacing w:val="false"/>
    </w:pPr>
    <w:rPr/>
  </w:style>
  <w:style w:styleId="style30" w:type="paragraph">
    <w:name w:val="Footer"/>
    <w:basedOn w:val="style0"/>
    <w:next w:val="style30"/>
    <w:pPr>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2012-09-11T18:10:00.00Z</dcterms:created>
  <dc:creator>User</dc:creator>
  <cp:lastModifiedBy>User</cp:lastModifiedBy>
  <cp:lastPrinted>2012-09-11T19:18:00.00Z</cp:lastPrinted>
  <dcterms:modified xsi:type="dcterms:W3CDTF">2012-09-11T19:25:00.00Z</dcterms:modified>
  <cp:revision>7</cp:revision>
</cp:coreProperties>
</file>