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2992A009"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5D5820">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5D5820">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2CF76EDE" w14:textId="77777777" w:rsidR="005D5820" w:rsidRDefault="005D5820" w:rsidP="005D5820">
      <w:pPr>
        <w:ind w:right="-2"/>
        <w:jc w:val="center"/>
        <w:rPr>
          <w:rFonts w:ascii="Arial" w:hAnsi="Arial" w:cs="Arial"/>
          <w:b/>
          <w:color w:val="000000"/>
          <w:lang w:val="mn-MN"/>
        </w:rPr>
      </w:pPr>
    </w:p>
    <w:p w14:paraId="1B435F71" w14:textId="77777777" w:rsidR="0048247A" w:rsidRPr="00AD5B80" w:rsidRDefault="0048247A" w:rsidP="0048247A">
      <w:pPr>
        <w:ind w:right="-2"/>
        <w:jc w:val="center"/>
        <w:rPr>
          <w:rFonts w:ascii="Arial" w:hAnsi="Arial" w:cs="Arial"/>
          <w:b/>
          <w:bCs/>
          <w:color w:val="000000"/>
          <w:sz w:val="22"/>
          <w:szCs w:val="22"/>
          <w:lang w:val="mn-MN"/>
        </w:rPr>
      </w:pPr>
      <w:r w:rsidRPr="00AD5B80">
        <w:rPr>
          <w:rFonts w:ascii="Arial" w:hAnsi="Arial" w:cs="Arial"/>
          <w:b/>
          <w:bCs/>
          <w:color w:val="000000"/>
          <w:sz w:val="22"/>
          <w:szCs w:val="22"/>
          <w:lang w:val="mn-MN"/>
        </w:rPr>
        <w:t xml:space="preserve">      НИЙГМИЙН ХАЛАМЖИЙН ТУХАЙ ХУУЛЬД </w:t>
      </w:r>
    </w:p>
    <w:p w14:paraId="02B12648" w14:textId="77777777" w:rsidR="0048247A" w:rsidRPr="00AD5B80" w:rsidRDefault="0048247A" w:rsidP="0048247A">
      <w:pPr>
        <w:ind w:right="-2"/>
        <w:jc w:val="center"/>
        <w:rPr>
          <w:rFonts w:ascii="Arial" w:hAnsi="Arial" w:cs="Arial"/>
          <w:b/>
          <w:bCs/>
          <w:color w:val="000000"/>
          <w:sz w:val="22"/>
          <w:szCs w:val="22"/>
          <w:lang w:val="mn-MN"/>
        </w:rPr>
      </w:pPr>
      <w:r w:rsidRPr="00AD5B80">
        <w:rPr>
          <w:rFonts w:ascii="Arial" w:hAnsi="Arial" w:cs="Arial"/>
          <w:b/>
          <w:bCs/>
          <w:color w:val="000000"/>
          <w:sz w:val="22"/>
          <w:szCs w:val="22"/>
          <w:lang w:val="mn-MN"/>
        </w:rPr>
        <w:t xml:space="preserve">      НЭМЭЛТ, ӨӨРЧЛӨЛТ ОРУУЛАХ ТУХАЙ</w:t>
      </w:r>
      <w:r w:rsidRPr="00AD5B80">
        <w:rPr>
          <w:rFonts w:ascii="Arial" w:hAnsi="Arial" w:cs="Arial"/>
          <w:b/>
          <w:bCs/>
          <w:color w:val="000000"/>
          <w:sz w:val="22"/>
          <w:szCs w:val="22"/>
          <w:lang w:val="mn-MN"/>
        </w:rPr>
        <w:br/>
      </w:r>
    </w:p>
    <w:p w14:paraId="61163C6B" w14:textId="77777777" w:rsidR="0048247A" w:rsidRPr="00AD5B80" w:rsidRDefault="0048247A" w:rsidP="0048247A">
      <w:pPr>
        <w:ind w:right="-2" w:firstLine="720"/>
        <w:jc w:val="both"/>
        <w:rPr>
          <w:rFonts w:ascii="Arial" w:hAnsi="Arial" w:cs="Arial"/>
          <w:color w:val="000000"/>
          <w:sz w:val="22"/>
          <w:szCs w:val="22"/>
          <w:lang w:val="mn-MN"/>
        </w:rPr>
      </w:pPr>
      <w:r w:rsidRPr="00AD5B80">
        <w:rPr>
          <w:rFonts w:ascii="Arial" w:hAnsi="Arial" w:cs="Arial"/>
          <w:b/>
          <w:color w:val="000000"/>
          <w:sz w:val="22"/>
          <w:szCs w:val="22"/>
          <w:lang w:val="mn-MN"/>
        </w:rPr>
        <w:t>1 дүгээр зүйл.</w:t>
      </w:r>
      <w:r w:rsidRPr="00AD5B80">
        <w:rPr>
          <w:rFonts w:ascii="Arial" w:hAnsi="Arial" w:cs="Arial"/>
          <w:color w:val="000000"/>
          <w:sz w:val="22"/>
          <w:szCs w:val="22"/>
          <w:lang w:val="mn-MN"/>
        </w:rPr>
        <w:t xml:space="preserve">Нийгмийн халамжийн тухай </w:t>
      </w:r>
      <w:r w:rsidRPr="00AD5B80">
        <w:rPr>
          <w:rFonts w:ascii="Arial" w:hAnsi="Arial" w:cs="Arial"/>
          <w:bCs/>
          <w:color w:val="000000"/>
          <w:sz w:val="22"/>
          <w:szCs w:val="22"/>
          <w:lang w:val="mn-MN"/>
        </w:rPr>
        <w:t>хуулийн 19 дүгээр зүйлд доор дурдсан агуулгатай 19.11, 19.12, 19.13, 19.14 дэх хэсэг</w:t>
      </w:r>
      <w:r w:rsidRPr="00AD5B80">
        <w:rPr>
          <w:rFonts w:ascii="Arial" w:hAnsi="Arial" w:cs="Arial"/>
          <w:color w:val="000000"/>
          <w:sz w:val="22"/>
          <w:szCs w:val="22"/>
          <w:lang w:val="mn-MN"/>
        </w:rPr>
        <w:t xml:space="preserve"> нэмсүгэй:</w:t>
      </w:r>
    </w:p>
    <w:p w14:paraId="2D18D1C8" w14:textId="77777777" w:rsidR="0048247A" w:rsidRPr="00AD5B80" w:rsidRDefault="0048247A" w:rsidP="0048247A">
      <w:pPr>
        <w:ind w:right="-2"/>
        <w:jc w:val="both"/>
        <w:rPr>
          <w:rFonts w:ascii="Arial" w:hAnsi="Arial" w:cs="Arial"/>
          <w:color w:val="000000"/>
          <w:sz w:val="22"/>
          <w:szCs w:val="22"/>
          <w:lang w:val="mn-MN"/>
        </w:rPr>
      </w:pPr>
    </w:p>
    <w:p w14:paraId="2C34A845" w14:textId="77777777" w:rsidR="0048247A" w:rsidRPr="00AD5B80" w:rsidRDefault="0048247A" w:rsidP="0048247A">
      <w:pPr>
        <w:ind w:right="-2" w:firstLine="720"/>
        <w:jc w:val="both"/>
        <w:rPr>
          <w:rFonts w:ascii="Arial" w:hAnsi="Arial" w:cs="Arial"/>
          <w:color w:val="000000"/>
          <w:sz w:val="22"/>
          <w:szCs w:val="22"/>
          <w:shd w:val="clear" w:color="auto" w:fill="FFFFFF"/>
          <w:lang w:val="mn-MN"/>
        </w:rPr>
      </w:pPr>
      <w:r w:rsidRPr="00AD5B80">
        <w:rPr>
          <w:rFonts w:ascii="Arial" w:hAnsi="Arial" w:cs="Arial"/>
          <w:color w:val="000000"/>
          <w:sz w:val="22"/>
          <w:szCs w:val="22"/>
          <w:lang w:val="mn-MN"/>
        </w:rPr>
        <w:t>“</w:t>
      </w:r>
      <w:bookmarkStart w:id="0" w:name="_Hlk159936694"/>
      <w:r w:rsidRPr="00AD5B80">
        <w:rPr>
          <w:rFonts w:ascii="Arial" w:hAnsi="Arial" w:cs="Arial"/>
          <w:color w:val="000000"/>
          <w:sz w:val="22"/>
          <w:szCs w:val="22"/>
          <w:lang w:val="mn-MN"/>
        </w:rPr>
        <w:t>19.11.</w:t>
      </w:r>
      <w:r w:rsidRPr="00AD5B80">
        <w:rPr>
          <w:rFonts w:ascii="Arial" w:hAnsi="Arial" w:cs="Arial"/>
          <w:color w:val="000000"/>
          <w:sz w:val="22"/>
          <w:szCs w:val="22"/>
          <w:shd w:val="clear" w:color="auto" w:fill="FFFFFF"/>
          <w:lang w:val="mn-MN"/>
        </w:rPr>
        <w:t xml:space="preserve">Энэ хуулийн 19.1.1-д заасан үйлчилгээг шинээр үзүүлэх, барилга байгууламж барих аж ахуйн нэгж, байгууллагад төрөөс нэг удаагийн дэмжлэг үзүүлж болно. </w:t>
      </w:r>
    </w:p>
    <w:p w14:paraId="7B2824E5" w14:textId="77777777" w:rsidR="0048247A" w:rsidRPr="00AD5B80" w:rsidRDefault="0048247A" w:rsidP="0048247A">
      <w:pPr>
        <w:ind w:right="-2"/>
        <w:jc w:val="both"/>
        <w:rPr>
          <w:rFonts w:ascii="Arial" w:hAnsi="Arial" w:cs="Arial"/>
          <w:color w:val="000000"/>
          <w:sz w:val="22"/>
          <w:szCs w:val="22"/>
          <w:shd w:val="clear" w:color="auto" w:fill="FFFFFF"/>
          <w:lang w:val="mn-MN"/>
        </w:rPr>
      </w:pPr>
    </w:p>
    <w:bookmarkEnd w:id="0"/>
    <w:p w14:paraId="4E1C707C" w14:textId="77777777" w:rsidR="0048247A" w:rsidRPr="00AD5B80" w:rsidRDefault="0048247A" w:rsidP="0048247A">
      <w:pPr>
        <w:ind w:right="-2" w:firstLine="720"/>
        <w:jc w:val="both"/>
        <w:rPr>
          <w:rFonts w:ascii="Arial" w:eastAsia="DengXian" w:hAnsi="Arial" w:cs="Arial"/>
          <w:color w:val="000000"/>
          <w:kern w:val="24"/>
          <w:sz w:val="22"/>
          <w:szCs w:val="22"/>
          <w:lang w:val="mn-MN"/>
        </w:rPr>
      </w:pPr>
      <w:r w:rsidRPr="00AD5B80">
        <w:rPr>
          <w:rFonts w:ascii="Arial" w:hAnsi="Arial" w:cs="Arial"/>
          <w:color w:val="000000"/>
          <w:sz w:val="22"/>
          <w:szCs w:val="22"/>
          <w:lang w:val="mn-MN"/>
        </w:rPr>
        <w:t>19.12.</w:t>
      </w:r>
      <w:r w:rsidRPr="00AD5B80">
        <w:rPr>
          <w:rFonts w:ascii="Arial" w:eastAsia="DengXian" w:hAnsi="Arial" w:cs="Arial"/>
          <w:color w:val="000000"/>
          <w:kern w:val="24"/>
          <w:sz w:val="22"/>
          <w:szCs w:val="22"/>
          <w:lang w:val="mn-MN"/>
        </w:rPr>
        <w:t xml:space="preserve">Энэ хуулийн </w:t>
      </w:r>
      <w:r w:rsidRPr="00AD5B80">
        <w:rPr>
          <w:rFonts w:ascii="Arial" w:hAnsi="Arial" w:cs="Arial"/>
          <w:color w:val="000000"/>
          <w:sz w:val="22"/>
          <w:szCs w:val="22"/>
          <w:shd w:val="clear" w:color="auto" w:fill="FFFFFF"/>
          <w:lang w:val="mn-MN"/>
        </w:rPr>
        <w:t xml:space="preserve">19.11-д </w:t>
      </w:r>
      <w:r w:rsidRPr="00AD5B80">
        <w:rPr>
          <w:rFonts w:ascii="Arial" w:eastAsia="DengXian" w:hAnsi="Arial" w:cs="Arial"/>
          <w:color w:val="000000"/>
          <w:kern w:val="24"/>
          <w:sz w:val="22"/>
          <w:szCs w:val="22"/>
          <w:lang w:val="mn-MN"/>
        </w:rPr>
        <w:t>заасан дэмжлэгийн хэлбэр, хэмжээ, олгох журмыг Засгийн газар батална.</w:t>
      </w:r>
    </w:p>
    <w:p w14:paraId="3414124D" w14:textId="77777777" w:rsidR="0048247A" w:rsidRPr="00AD5B80" w:rsidRDefault="0048247A" w:rsidP="0048247A">
      <w:pPr>
        <w:ind w:right="-2"/>
        <w:jc w:val="both"/>
        <w:rPr>
          <w:rFonts w:ascii="Arial" w:hAnsi="Arial" w:cs="Arial"/>
          <w:color w:val="000000"/>
          <w:sz w:val="22"/>
          <w:szCs w:val="22"/>
          <w:lang w:val="mn-MN"/>
        </w:rPr>
      </w:pPr>
    </w:p>
    <w:p w14:paraId="010ED1DE" w14:textId="77777777" w:rsidR="0048247A" w:rsidRPr="00AD5B80" w:rsidRDefault="0048247A" w:rsidP="0048247A">
      <w:pPr>
        <w:ind w:right="-2" w:firstLine="720"/>
        <w:jc w:val="both"/>
        <w:rPr>
          <w:rFonts w:ascii="Arial" w:hAnsi="Arial" w:cs="Arial"/>
          <w:color w:val="000000"/>
          <w:sz w:val="22"/>
          <w:szCs w:val="22"/>
          <w:lang w:val="mn-MN"/>
        </w:rPr>
      </w:pPr>
      <w:r w:rsidRPr="00AD5B80">
        <w:rPr>
          <w:rFonts w:ascii="Arial" w:hAnsi="Arial" w:cs="Arial"/>
          <w:color w:val="000000"/>
          <w:sz w:val="22"/>
          <w:szCs w:val="22"/>
          <w:lang w:val="mn-MN"/>
        </w:rPr>
        <w:t xml:space="preserve">19.13.Энэ хуулийн 19.5.1-д заасан нэг хүнд ногдох зардлын нормативыг байнгын асаргаа шаардлагатай иргэнд 3 дахин нэмэгдүүлэн тооцно. </w:t>
      </w:r>
    </w:p>
    <w:p w14:paraId="3095E679" w14:textId="77777777" w:rsidR="0048247A" w:rsidRPr="00AD5B80" w:rsidRDefault="0048247A" w:rsidP="0048247A">
      <w:pPr>
        <w:ind w:right="-2" w:firstLine="720"/>
        <w:jc w:val="both"/>
        <w:rPr>
          <w:rFonts w:ascii="Arial" w:hAnsi="Arial" w:cs="Arial"/>
          <w:color w:val="000000"/>
          <w:sz w:val="22"/>
          <w:szCs w:val="22"/>
          <w:lang w:val="mn-MN"/>
        </w:rPr>
      </w:pPr>
    </w:p>
    <w:p w14:paraId="01B78BF9" w14:textId="77777777" w:rsidR="0048247A" w:rsidRPr="00AD5B80" w:rsidRDefault="0048247A" w:rsidP="0048247A">
      <w:pPr>
        <w:ind w:right="-2" w:firstLine="720"/>
        <w:jc w:val="both"/>
        <w:rPr>
          <w:rFonts w:ascii="Arial" w:eastAsia="DengXian" w:hAnsi="Arial" w:cs="Arial"/>
          <w:color w:val="000000"/>
          <w:kern w:val="24"/>
          <w:sz w:val="22"/>
          <w:szCs w:val="22"/>
          <w:lang w:val="mn-MN"/>
        </w:rPr>
      </w:pPr>
      <w:r w:rsidRPr="00AD5B80">
        <w:rPr>
          <w:rFonts w:ascii="Arial" w:eastAsia="DengXian" w:hAnsi="Arial" w:cs="Arial"/>
          <w:color w:val="000000"/>
          <w:kern w:val="24"/>
          <w:sz w:val="22"/>
          <w:szCs w:val="22"/>
          <w:lang w:val="mn-MN"/>
        </w:rPr>
        <w:t>19.14.Энэ хуулийн 19.1.1-д заасан үйлчилгээг ахмад настанд үзүүлж байгаа аж ахуйн нэгж, байгууллагад энэ хуулийн 19.5-д заасны дагуу асруулагчийн тоогоор зардлыг тооцож, тухайн асрамжийн байгууллагын ажилтнуудын цалин, урсгал зардал зэрэг үйл ажиллагааны зардалд үзүүлэх дэмжлэгийн хэмжээг нийгмийн халамжийн болон санхүүгийн асуудал эрхэлсэн Засгийн газрын гишүүн хамтран тогтооно.”</w:t>
      </w:r>
    </w:p>
    <w:p w14:paraId="79819087" w14:textId="77777777" w:rsidR="0048247A" w:rsidRPr="00AD5B80" w:rsidRDefault="0048247A" w:rsidP="0048247A">
      <w:pPr>
        <w:ind w:right="-2" w:firstLine="720"/>
        <w:jc w:val="both"/>
        <w:rPr>
          <w:rFonts w:ascii="Arial" w:hAnsi="Arial" w:cs="Arial"/>
          <w:b/>
          <w:bCs/>
          <w:i/>
          <w:color w:val="000000"/>
          <w:sz w:val="22"/>
          <w:szCs w:val="22"/>
          <w:lang w:val="mn-MN"/>
        </w:rPr>
      </w:pPr>
    </w:p>
    <w:p w14:paraId="7A929506" w14:textId="77777777" w:rsidR="0048247A" w:rsidRPr="00AD5B80" w:rsidRDefault="0048247A" w:rsidP="0048247A">
      <w:pPr>
        <w:ind w:right="-2" w:firstLine="720"/>
        <w:jc w:val="both"/>
        <w:rPr>
          <w:rFonts w:ascii="Arial" w:hAnsi="Arial" w:cs="Arial"/>
          <w:color w:val="000000"/>
          <w:sz w:val="22"/>
          <w:szCs w:val="22"/>
          <w:lang w:val="mn-MN"/>
        </w:rPr>
      </w:pPr>
      <w:r w:rsidRPr="00AD5B80">
        <w:rPr>
          <w:rFonts w:ascii="Arial" w:hAnsi="Arial" w:cs="Arial"/>
          <w:b/>
          <w:color w:val="000000"/>
          <w:sz w:val="22"/>
          <w:szCs w:val="22"/>
          <w:lang w:val="mn-MN"/>
        </w:rPr>
        <w:t>2 дугаар зүйл.</w:t>
      </w:r>
      <w:r w:rsidRPr="00AD5B80">
        <w:rPr>
          <w:rFonts w:ascii="Arial" w:hAnsi="Arial" w:cs="Arial"/>
          <w:color w:val="000000"/>
          <w:sz w:val="22"/>
          <w:szCs w:val="22"/>
          <w:lang w:val="mn-MN"/>
        </w:rPr>
        <w:t>Нийгмийн халамжийн тухай хуулийн 18 дугаар зүйлийн 18.7 дахь хэсгийг доор дурдсанаар өөрчлөн найруулсугай:</w:t>
      </w:r>
    </w:p>
    <w:p w14:paraId="646BF7CC" w14:textId="77777777" w:rsidR="0048247A" w:rsidRPr="00AD5B80" w:rsidRDefault="0048247A" w:rsidP="0048247A">
      <w:pPr>
        <w:ind w:right="-2" w:firstLine="720"/>
        <w:jc w:val="both"/>
        <w:rPr>
          <w:rFonts w:ascii="Arial" w:hAnsi="Arial" w:cs="Arial"/>
          <w:color w:val="000000"/>
          <w:sz w:val="22"/>
          <w:szCs w:val="22"/>
          <w:lang w:val="mn-MN"/>
        </w:rPr>
      </w:pPr>
    </w:p>
    <w:p w14:paraId="1D0E2740" w14:textId="120B3C67" w:rsidR="0048247A" w:rsidRPr="00AD5B80" w:rsidRDefault="0048247A" w:rsidP="0048247A">
      <w:pPr>
        <w:ind w:right="-2" w:firstLine="720"/>
        <w:jc w:val="both"/>
        <w:rPr>
          <w:rFonts w:ascii="Arial" w:hAnsi="Arial" w:cs="Arial"/>
          <w:color w:val="000000"/>
          <w:sz w:val="22"/>
          <w:szCs w:val="22"/>
          <w:lang w:val="mn-MN"/>
        </w:rPr>
      </w:pPr>
      <w:r w:rsidRPr="00AD5B80">
        <w:rPr>
          <w:rFonts w:ascii="Arial" w:hAnsi="Arial" w:cs="Arial"/>
          <w:color w:val="000000"/>
          <w:sz w:val="22"/>
          <w:szCs w:val="22"/>
          <w:lang w:val="mn-MN"/>
        </w:rPr>
        <w:t>“18.7.Олон нийтийн оролцоонд түшиглэсэн халамжийн үйлчилгээний чанарт тавигдах шалгуур, журам, үйлчилгээ үзүүлэх иргэн, аж ахуйн нэгж, төрийн бус байгууллагатай хийх гэрээний загвар болон үйлчилгээний үнэ тариф, аргачлал, зааврыг нийгмийн халамжийн асуудал эрхэлсэн Засгийн</w:t>
      </w:r>
      <w:r w:rsidR="009B49B6">
        <w:rPr>
          <w:rFonts w:ascii="Arial" w:hAnsi="Arial" w:cs="Arial"/>
          <w:color w:val="000000"/>
          <w:sz w:val="22"/>
          <w:szCs w:val="22"/>
          <w:lang w:val="mn-MN"/>
        </w:rPr>
        <w:t xml:space="preserve"> газрын</w:t>
      </w:r>
      <w:r w:rsidRPr="00AD5B80">
        <w:rPr>
          <w:rFonts w:ascii="Arial" w:hAnsi="Arial" w:cs="Arial"/>
          <w:color w:val="000000"/>
          <w:sz w:val="22"/>
          <w:szCs w:val="22"/>
          <w:lang w:val="mn-MN"/>
        </w:rPr>
        <w:t xml:space="preserve"> гишүүн батална.”</w:t>
      </w:r>
    </w:p>
    <w:p w14:paraId="4304896F" w14:textId="77777777" w:rsidR="0048247A" w:rsidRPr="00AD5B80" w:rsidRDefault="0048247A" w:rsidP="0048247A">
      <w:pPr>
        <w:ind w:right="-2"/>
        <w:jc w:val="both"/>
        <w:rPr>
          <w:rFonts w:ascii="Arial" w:hAnsi="Arial" w:cs="Arial"/>
          <w:color w:val="000000"/>
          <w:sz w:val="22"/>
          <w:szCs w:val="22"/>
          <w:lang w:val="mn-MN"/>
        </w:rPr>
      </w:pPr>
    </w:p>
    <w:p w14:paraId="2019303B" w14:textId="77777777" w:rsidR="0048247A" w:rsidRPr="00AD5B80" w:rsidRDefault="0048247A" w:rsidP="0048247A">
      <w:pPr>
        <w:ind w:right="-2"/>
        <w:jc w:val="both"/>
        <w:rPr>
          <w:rFonts w:ascii="Arial" w:hAnsi="Arial" w:cs="Arial"/>
          <w:color w:val="000000"/>
          <w:sz w:val="22"/>
          <w:szCs w:val="22"/>
          <w:shd w:val="clear" w:color="auto" w:fill="FFFFFF"/>
          <w:lang w:val="mn-MN"/>
        </w:rPr>
      </w:pPr>
      <w:r w:rsidRPr="00AD5B80">
        <w:rPr>
          <w:rFonts w:ascii="Arial" w:hAnsi="Arial" w:cs="Arial"/>
          <w:color w:val="000000"/>
          <w:sz w:val="22"/>
          <w:szCs w:val="22"/>
          <w:lang w:val="mn-MN"/>
        </w:rPr>
        <w:tab/>
      </w:r>
      <w:r w:rsidRPr="00AD5B80">
        <w:rPr>
          <w:rFonts w:ascii="Arial" w:hAnsi="Arial" w:cs="Arial"/>
          <w:b/>
          <w:color w:val="000000"/>
          <w:sz w:val="22"/>
          <w:szCs w:val="22"/>
          <w:lang w:val="mn-MN"/>
        </w:rPr>
        <w:t>3 дугаар зүйл.</w:t>
      </w:r>
      <w:r w:rsidRPr="00AD5B80">
        <w:rPr>
          <w:rFonts w:ascii="Arial" w:hAnsi="Arial" w:cs="Arial"/>
          <w:color w:val="000000"/>
          <w:sz w:val="22"/>
          <w:szCs w:val="22"/>
          <w:lang w:val="mn-MN"/>
        </w:rPr>
        <w:t>Нийгмийн халамжийн тухай хуулийн</w:t>
      </w:r>
      <w:r w:rsidRPr="00AD5B80">
        <w:rPr>
          <w:rFonts w:ascii="Arial" w:hAnsi="Arial" w:cs="Arial"/>
          <w:b/>
          <w:color w:val="000000"/>
          <w:sz w:val="22"/>
          <w:szCs w:val="22"/>
          <w:lang w:val="mn-MN"/>
        </w:rPr>
        <w:t xml:space="preserve"> </w:t>
      </w:r>
      <w:r w:rsidRPr="00AD5B80">
        <w:rPr>
          <w:rFonts w:ascii="Arial" w:hAnsi="Arial" w:cs="Arial"/>
          <w:color w:val="000000"/>
          <w:sz w:val="22"/>
          <w:szCs w:val="22"/>
          <w:lang w:val="mn-MN"/>
        </w:rPr>
        <w:t>3 дугаар зүйлийн 3.1.4-т заасан “</w:t>
      </w:r>
      <w:r w:rsidRPr="00AD5B80">
        <w:rPr>
          <w:rFonts w:ascii="Arial" w:hAnsi="Arial" w:cs="Arial"/>
          <w:color w:val="000000"/>
          <w:sz w:val="22"/>
          <w:szCs w:val="22"/>
          <w:shd w:val="clear" w:color="auto" w:fill="FFFFFF"/>
          <w:lang w:val="mn-MN"/>
        </w:rPr>
        <w:t xml:space="preserve">нийгмийн хамгааллын” гэснийг хассугай. </w:t>
      </w:r>
    </w:p>
    <w:p w14:paraId="015C1729" w14:textId="77777777" w:rsidR="0048247A" w:rsidRPr="00AD5B80" w:rsidRDefault="0048247A" w:rsidP="0048247A">
      <w:pPr>
        <w:ind w:right="-2"/>
        <w:jc w:val="both"/>
        <w:rPr>
          <w:rFonts w:ascii="Arial" w:hAnsi="Arial" w:cs="Arial"/>
          <w:color w:val="000000"/>
          <w:sz w:val="22"/>
          <w:szCs w:val="22"/>
          <w:lang w:val="mn-MN"/>
        </w:rPr>
      </w:pPr>
    </w:p>
    <w:p w14:paraId="44F13D8F" w14:textId="77777777" w:rsidR="0048247A" w:rsidRPr="00AD5B80" w:rsidRDefault="0048247A" w:rsidP="0048247A">
      <w:pPr>
        <w:ind w:right="-2" w:firstLine="720"/>
        <w:jc w:val="both"/>
        <w:rPr>
          <w:rFonts w:ascii="Arial" w:hAnsi="Arial" w:cs="Arial"/>
          <w:color w:val="000000"/>
          <w:sz w:val="22"/>
          <w:szCs w:val="22"/>
          <w:lang w:val="mn-MN"/>
        </w:rPr>
      </w:pPr>
      <w:r w:rsidRPr="00AD5B80">
        <w:rPr>
          <w:rFonts w:ascii="Arial" w:hAnsi="Arial" w:cs="Arial"/>
          <w:b/>
          <w:color w:val="000000"/>
          <w:sz w:val="22"/>
          <w:szCs w:val="22"/>
          <w:lang w:val="mn-MN"/>
        </w:rPr>
        <w:t>4 дүгээр зүйл.</w:t>
      </w:r>
      <w:r w:rsidRPr="00AD5B80">
        <w:rPr>
          <w:rFonts w:ascii="Arial" w:hAnsi="Arial" w:cs="Arial"/>
          <w:color w:val="000000"/>
          <w:sz w:val="22"/>
          <w:szCs w:val="22"/>
          <w:lang w:val="mn-MN"/>
        </w:rPr>
        <w:t>Нийгмийн халамжийн тухай хуулийн</w:t>
      </w:r>
      <w:r w:rsidRPr="00AD5B80">
        <w:rPr>
          <w:rFonts w:ascii="Arial" w:hAnsi="Arial" w:cs="Arial"/>
          <w:b/>
          <w:color w:val="000000"/>
          <w:sz w:val="22"/>
          <w:szCs w:val="22"/>
          <w:lang w:val="mn-MN"/>
        </w:rPr>
        <w:t xml:space="preserve"> </w:t>
      </w:r>
      <w:r w:rsidRPr="00AD5B80">
        <w:rPr>
          <w:rFonts w:ascii="Arial" w:hAnsi="Arial" w:cs="Arial"/>
          <w:color w:val="000000"/>
          <w:sz w:val="22"/>
          <w:szCs w:val="22"/>
          <w:lang w:val="mn-MN"/>
        </w:rPr>
        <w:t xml:space="preserve">18 дугаар зүйлийн 18.8, 18.9 дэх хэсгийг тус тус хүчингүй болсонд тооцсугай. </w:t>
      </w:r>
    </w:p>
    <w:p w14:paraId="75D38398" w14:textId="77777777" w:rsidR="0048247A" w:rsidRPr="00AD5B80" w:rsidRDefault="0048247A" w:rsidP="0048247A">
      <w:pPr>
        <w:ind w:right="-2"/>
        <w:jc w:val="both"/>
        <w:rPr>
          <w:rFonts w:ascii="Arial" w:hAnsi="Arial" w:cs="Arial"/>
          <w:b/>
          <w:bCs/>
          <w:iCs/>
          <w:dstrike/>
          <w:color w:val="000000"/>
          <w:sz w:val="22"/>
          <w:szCs w:val="22"/>
          <w:lang w:val="mn-MN"/>
        </w:rPr>
      </w:pPr>
    </w:p>
    <w:p w14:paraId="4E6C520F" w14:textId="77777777" w:rsidR="0048247A" w:rsidRPr="00AD5B80" w:rsidRDefault="0048247A" w:rsidP="0048247A">
      <w:pPr>
        <w:ind w:right="-2" w:firstLine="720"/>
        <w:jc w:val="both"/>
        <w:rPr>
          <w:rFonts w:ascii="Arial" w:hAnsi="Arial" w:cs="Arial"/>
          <w:color w:val="000000"/>
          <w:sz w:val="22"/>
          <w:szCs w:val="22"/>
          <w:lang w:val="mn-MN"/>
        </w:rPr>
      </w:pPr>
      <w:r w:rsidRPr="00AD5B80">
        <w:rPr>
          <w:rFonts w:ascii="Arial" w:hAnsi="Arial" w:cs="Arial"/>
          <w:b/>
          <w:color w:val="000000"/>
          <w:sz w:val="22"/>
          <w:szCs w:val="22"/>
          <w:lang w:val="mn-MN"/>
        </w:rPr>
        <w:t>5 дугаар зүйл.</w:t>
      </w:r>
      <w:r w:rsidRPr="00AD5B80">
        <w:rPr>
          <w:rFonts w:ascii="Arial" w:hAnsi="Arial" w:cs="Arial"/>
          <w:color w:val="000000"/>
          <w:sz w:val="22"/>
          <w:szCs w:val="22"/>
          <w:lang w:val="mn-MN"/>
        </w:rPr>
        <w:t>Энэ хуулийг Ахмад настны тухай хуульд нэмэлт, өөрчлөлт оруулах тухай хууль хүчин төгөлдөр болсон өдрөөс эхлэн дагаж мөрдөнө.</w:t>
      </w:r>
    </w:p>
    <w:p w14:paraId="2C94DC65" w14:textId="77777777" w:rsidR="0048247A" w:rsidRPr="00AD5B80" w:rsidRDefault="0048247A" w:rsidP="0048247A">
      <w:pPr>
        <w:ind w:right="-2"/>
        <w:jc w:val="center"/>
        <w:rPr>
          <w:rFonts w:ascii="Arial" w:hAnsi="Arial" w:cs="Arial"/>
          <w:color w:val="000000"/>
          <w:sz w:val="22"/>
          <w:szCs w:val="22"/>
          <w:lang w:val="mn-MN"/>
        </w:rPr>
      </w:pPr>
    </w:p>
    <w:p w14:paraId="65D7EB73" w14:textId="77777777" w:rsidR="0048247A" w:rsidRPr="00AD5B80" w:rsidRDefault="0048247A" w:rsidP="0048247A">
      <w:pPr>
        <w:ind w:left="720" w:right="-93" w:firstLine="720"/>
        <w:jc w:val="both"/>
        <w:rPr>
          <w:rFonts w:ascii="Arial" w:hAnsi="Arial" w:cs="Arial"/>
          <w:color w:val="000000"/>
          <w:sz w:val="22"/>
          <w:szCs w:val="22"/>
          <w:lang w:val="mn-MN"/>
        </w:rPr>
      </w:pPr>
    </w:p>
    <w:p w14:paraId="27709609" w14:textId="77777777" w:rsidR="0048247A" w:rsidRPr="00AD5B80" w:rsidRDefault="0048247A" w:rsidP="0048247A">
      <w:pPr>
        <w:ind w:left="720" w:right="-93" w:firstLine="720"/>
        <w:jc w:val="both"/>
        <w:rPr>
          <w:rFonts w:ascii="Arial" w:hAnsi="Arial" w:cs="Arial"/>
          <w:color w:val="000000"/>
          <w:sz w:val="22"/>
          <w:szCs w:val="22"/>
          <w:lang w:val="mn-MN"/>
        </w:rPr>
      </w:pPr>
    </w:p>
    <w:p w14:paraId="2538A965" w14:textId="77777777" w:rsidR="0048247A" w:rsidRPr="00AD5B80" w:rsidRDefault="0048247A" w:rsidP="0048247A">
      <w:pPr>
        <w:ind w:left="720" w:right="-93" w:firstLine="720"/>
        <w:jc w:val="both"/>
        <w:rPr>
          <w:rFonts w:ascii="Arial" w:hAnsi="Arial" w:cs="Arial"/>
          <w:color w:val="000000"/>
          <w:sz w:val="22"/>
          <w:szCs w:val="22"/>
          <w:lang w:val="mn-MN"/>
        </w:rPr>
      </w:pPr>
      <w:r w:rsidRPr="00AD5B80">
        <w:rPr>
          <w:rFonts w:ascii="Arial" w:hAnsi="Arial" w:cs="Arial"/>
          <w:color w:val="000000"/>
          <w:sz w:val="22"/>
          <w:szCs w:val="22"/>
          <w:lang w:val="mn-MN"/>
        </w:rPr>
        <w:t xml:space="preserve">МОНГОЛ УЛСЫН </w:t>
      </w:r>
    </w:p>
    <w:p w14:paraId="09C73E2B" w14:textId="77777777" w:rsidR="0048247A" w:rsidRPr="00AD5B80" w:rsidRDefault="0048247A" w:rsidP="0048247A">
      <w:pPr>
        <w:ind w:left="720" w:right="-93" w:firstLine="720"/>
        <w:jc w:val="both"/>
        <w:rPr>
          <w:rFonts w:ascii="Arial" w:hAnsi="Arial" w:cs="Arial"/>
          <w:color w:val="000000"/>
          <w:sz w:val="22"/>
          <w:szCs w:val="22"/>
          <w:lang w:val="mn-MN"/>
        </w:rPr>
      </w:pPr>
      <w:r w:rsidRPr="00AD5B80">
        <w:rPr>
          <w:rFonts w:ascii="Arial" w:hAnsi="Arial" w:cs="Arial"/>
          <w:color w:val="000000"/>
          <w:sz w:val="22"/>
          <w:szCs w:val="22"/>
          <w:lang w:val="mn-MN"/>
        </w:rPr>
        <w:t xml:space="preserve">ИХ ХУРЛЫН ДАРГА </w:t>
      </w:r>
      <w:r w:rsidRPr="00AD5B80">
        <w:rPr>
          <w:rFonts w:ascii="Arial" w:hAnsi="Arial" w:cs="Arial"/>
          <w:color w:val="000000"/>
          <w:sz w:val="22"/>
          <w:szCs w:val="22"/>
          <w:lang w:val="mn-MN"/>
        </w:rPr>
        <w:tab/>
      </w:r>
      <w:r w:rsidRPr="00AD5B80">
        <w:rPr>
          <w:rFonts w:ascii="Arial" w:hAnsi="Arial" w:cs="Arial"/>
          <w:color w:val="000000"/>
          <w:sz w:val="22"/>
          <w:szCs w:val="22"/>
          <w:lang w:val="mn-MN"/>
        </w:rPr>
        <w:tab/>
      </w:r>
      <w:r w:rsidRPr="00AD5B80">
        <w:rPr>
          <w:rFonts w:ascii="Arial" w:hAnsi="Arial" w:cs="Arial"/>
          <w:color w:val="000000"/>
          <w:sz w:val="22"/>
          <w:szCs w:val="22"/>
          <w:lang w:val="mn-MN"/>
        </w:rPr>
        <w:tab/>
      </w:r>
      <w:r w:rsidRPr="00AD5B80">
        <w:rPr>
          <w:rFonts w:ascii="Arial" w:hAnsi="Arial" w:cs="Arial"/>
          <w:color w:val="000000"/>
          <w:sz w:val="22"/>
          <w:szCs w:val="22"/>
          <w:lang w:val="mn-MN"/>
        </w:rPr>
        <w:tab/>
        <w:t>Г.ЗАНДАНШАТАР</w:t>
      </w:r>
    </w:p>
    <w:p w14:paraId="4115BC73" w14:textId="77777777" w:rsidR="00D9760B" w:rsidRPr="00D9760B" w:rsidRDefault="00D9760B" w:rsidP="0048247A">
      <w:pPr>
        <w:ind w:right="-2"/>
        <w:jc w:val="cente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247A"/>
    <w:rsid w:val="004846CD"/>
    <w:rsid w:val="00484D4E"/>
    <w:rsid w:val="004A0BC9"/>
    <w:rsid w:val="004C3DFD"/>
    <w:rsid w:val="004C75FE"/>
    <w:rsid w:val="00547CED"/>
    <w:rsid w:val="00577297"/>
    <w:rsid w:val="0058334D"/>
    <w:rsid w:val="005D5820"/>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B49B6"/>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2024-06-18T06:53:00Z</dcterms:created>
  <dcterms:modified xsi:type="dcterms:W3CDTF">2024-09-13T00:47:00Z</dcterms:modified>
</cp:coreProperties>
</file>