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Fonts w:ascii="Arial" w:cs="Arial" w:hAnsi="Arial"/>
          <w:b/>
          <w:shd w:fill="FFFFFF" w:val="clear"/>
          <w:lang w:val="mn-MN"/>
        </w:rPr>
        <w:t>МОНГОЛ УЛСЫН ИХ ХУРЛЫН 2018 ОНЫ НАМРЫН ЭЭЛЖИТ</w:t>
      </w:r>
    </w:p>
    <w:p>
      <w:pPr>
        <w:pStyle w:val="style22"/>
        <w:spacing w:after="0" w:before="0" w:line="100" w:lineRule="atLeast"/>
        <w:contextualSpacing w:val="false"/>
        <w:jc w:val="center"/>
      </w:pPr>
      <w:r>
        <w:rPr>
          <w:rFonts w:ascii="Arial" w:cs="Arial" w:hAnsi="Arial"/>
          <w:b/>
          <w:shd w:fill="FFFFFF" w:val="clear"/>
          <w:lang w:val="mn-MN"/>
        </w:rPr>
        <w:t xml:space="preserve">ЧУУЛГАНЫ ХУУЛЬ ЗҮЙН </w:t>
      </w:r>
      <w:r>
        <w:rPr>
          <w:rFonts w:ascii="Arial" w:cs="Arial" w:hAnsi="Arial"/>
          <w:b/>
          <w:lang w:val="mn-MN"/>
        </w:rPr>
        <w:t xml:space="preserve">БАЙНГЫН ХОРООНЫ </w:t>
      </w:r>
    </w:p>
    <w:p>
      <w:pPr>
        <w:pStyle w:val="style22"/>
        <w:spacing w:after="0" w:before="0" w:line="100" w:lineRule="atLeast"/>
        <w:contextualSpacing w:val="false"/>
        <w:jc w:val="center"/>
      </w:pPr>
      <w:r>
        <w:rPr>
          <w:rFonts w:ascii="Arial" w:cs="Arial" w:hAnsi="Arial"/>
          <w:b/>
          <w:lang w:val="mn-MN"/>
        </w:rPr>
        <w:t>10 ДУГААР САРЫН 17-НЫ ӨДӨР /ЛХАГВА ГАРАГ/-ИЙН</w:t>
      </w:r>
    </w:p>
    <w:p>
      <w:pPr>
        <w:pStyle w:val="style22"/>
        <w:spacing w:after="0" w:before="0" w:line="100" w:lineRule="atLeast"/>
        <w:contextualSpacing w:val="false"/>
        <w:jc w:val="center"/>
      </w:pPr>
      <w:r>
        <w:rPr>
          <w:rFonts w:ascii="Arial" w:cs="Arial" w:hAnsi="Arial"/>
          <w:b/>
          <w:lang w:val="mn-MN"/>
        </w:rPr>
        <w:t xml:space="preserve">ХУРАЛДААНЫ ТЭМДЭГЛЭЛИЙН ТОВЬЁГ </w:t>
      </w:r>
    </w:p>
    <w:p>
      <w:pPr>
        <w:pStyle w:val="style22"/>
        <w:spacing w:after="0" w:before="0" w:line="100" w:lineRule="atLeast"/>
        <w:contextualSpacing w:val="false"/>
        <w:jc w:val="center"/>
      </w:pPr>
      <w:r>
        <w:rPr/>
      </w:r>
    </w:p>
    <w:tbl>
      <w:tblPr>
        <w:jc w:val="left"/>
        <w:tblInd w:type="dxa" w:w="-1002"/>
        <w:tblBorders>
          <w:top w:color="000001" w:space="0" w:sz="8" w:val="single"/>
          <w:left w:color="000001" w:space="0" w:sz="8" w:val="single"/>
          <w:bottom w:color="000001" w:space="0" w:sz="8" w:val="single"/>
        </w:tblBorders>
      </w:tblPr>
      <w:tblGrid>
        <w:gridCol w:w="605"/>
        <w:gridCol w:w="7098"/>
        <w:gridCol w:w="1867"/>
      </w:tblGrid>
      <w:tr>
        <w:trPr>
          <w:cantSplit w:val="false"/>
        </w:trPr>
        <w:tc>
          <w:tcPr>
            <w:tcW w:type="dxa" w:w="605"/>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rPr>
              <w:t>№</w:t>
            </w:r>
          </w:p>
        </w:tc>
        <w:tc>
          <w:tcPr>
            <w:tcW w:type="dxa" w:w="7098"/>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Баримтын агуулга</w:t>
            </w:r>
          </w:p>
        </w:tc>
        <w:tc>
          <w:tcPr>
            <w:tcW w:type="dxa" w:w="1867"/>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b/>
                <w:i/>
                <w:color w:val="000000"/>
                <w:lang w:val="mn-MN"/>
              </w:rPr>
              <w:t>Хуудасны дугаар</w:t>
            </w:r>
          </w:p>
        </w:tc>
      </w:tr>
      <w:tr>
        <w:trPr>
          <w:cantSplit w:val="false"/>
        </w:trPr>
        <w:tc>
          <w:tcPr>
            <w:tcW w:type="dxa" w:w="605"/>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1</w:t>
            </w:r>
          </w:p>
        </w:tc>
        <w:tc>
          <w:tcPr>
            <w:tcW w:type="dxa" w:w="7098"/>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Хуралдааны товч тэмдэглэл</w:t>
            </w:r>
          </w:p>
        </w:tc>
        <w:tc>
          <w:tcPr>
            <w:tcW w:type="dxa" w:w="186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1-2</w:t>
            </w:r>
          </w:p>
        </w:tc>
      </w:tr>
      <w:tr>
        <w:trPr>
          <w:cantSplit w:val="false"/>
        </w:trPr>
        <w:tc>
          <w:tcPr>
            <w:tcW w:type="dxa" w:w="605"/>
            <w:vMerge w:val="restart"/>
            <w:tcBorders>
              <w:lef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color w:val="000000"/>
                <w:lang w:val="mn-MN"/>
              </w:rPr>
              <w:t>2</w:t>
            </w:r>
          </w:p>
        </w:tc>
        <w:tc>
          <w:tcPr>
            <w:tcW w:type="dxa" w:w="7098"/>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Fonts w:ascii="Arial" w:cs="Arial" w:hAnsi="Arial"/>
                <w:color w:val="000000"/>
                <w:lang w:val="mn-MN"/>
              </w:rPr>
              <w:t>Дэлгэрэнгүй тэмдэглэл</w:t>
            </w:r>
          </w:p>
        </w:tc>
        <w:tc>
          <w:tcPr>
            <w:tcW w:type="dxa" w:w="186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3-5</w:t>
            </w:r>
          </w:p>
        </w:tc>
      </w:tr>
      <w:tr>
        <w:trPr>
          <w:cantSplit w:val="false"/>
        </w:trPr>
        <w:tc>
          <w:tcPr>
            <w:tcW w:type="dxa" w:w="605"/>
            <w:vMerge w:val="continue"/>
            <w:tcBorders>
              <w:left w:color="000001" w:space="0" w:sz="8" w:val="single"/>
            </w:tcBorders>
            <w:shd w:fill="FFFFFF" w:val="clear"/>
            <w:tcMar>
              <w:top w:type="dxa" w:w="0"/>
              <w:left w:type="dxa" w:w="10"/>
              <w:bottom w:type="dxa" w:w="0"/>
              <w:right w:type="dxa" w:w="10"/>
            </w:tcMar>
          </w:tcPr>
          <w:p>
            <w:pPr>
              <w:pStyle w:val="style27"/>
              <w:spacing w:line="100" w:lineRule="atLeast"/>
            </w:pPr>
            <w:r>
              <w:rPr/>
            </w:r>
          </w:p>
        </w:tc>
        <w:tc>
          <w:tcPr>
            <w:tcW w:type="dxa" w:w="7098"/>
            <w:tcBorders>
              <w:left w:color="000001" w:space="0" w:sz="8" w:val="single"/>
              <w:bottom w:color="000001" w:space="0" w:sz="8" w:val="single"/>
            </w:tcBorders>
            <w:shd w:fill="FFFFFF" w:val="clear"/>
            <w:tcMar>
              <w:top w:type="dxa" w:w="0"/>
              <w:left w:type="dxa" w:w="10"/>
              <w:bottom w:type="dxa" w:w="0"/>
              <w:right w:type="dxa" w:w="10"/>
            </w:tcMar>
          </w:tcPr>
          <w:p>
            <w:pPr>
              <w:pStyle w:val="style0"/>
            </w:pPr>
            <w:r>
              <w:rPr>
                <w:rFonts w:ascii="Arial" w:hAnsi="Arial"/>
                <w:lang w:val="mn-MN"/>
              </w:rPr>
              <w:t xml:space="preserve">1. Үндсэн хуулийн цэцийн 2018 оны 12 дугаар дүгнэлт </w:t>
            </w:r>
            <w:r>
              <w:rPr>
                <w:rStyle w:val="style16"/>
                <w:rFonts w:ascii="Arial" w:cs="Arial" w:hAnsi="Arial"/>
                <w:i w:val="false"/>
                <w:iCs w:val="false"/>
                <w:color w:val="262626"/>
                <w:lang w:val="mn-MN"/>
              </w:rPr>
              <w:tab/>
              <w:t xml:space="preserve"> </w:t>
            </w:r>
          </w:p>
        </w:tc>
        <w:tc>
          <w:tcPr>
            <w:tcW w:type="dxa" w:w="186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Fonts w:ascii="Arial" w:cs="Arial" w:hAnsi="Arial"/>
                <w:lang w:val="mn-MN"/>
              </w:rPr>
              <w:t>3-4</w:t>
            </w:r>
          </w:p>
        </w:tc>
      </w:tr>
      <w:tr>
        <w:trPr>
          <w:cantSplit w:val="false"/>
        </w:trPr>
        <w:tc>
          <w:tcPr>
            <w:tcW w:type="dxa" w:w="605"/>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7"/>
              <w:spacing w:line="100" w:lineRule="atLeast"/>
            </w:pPr>
            <w:r>
              <w:rPr/>
            </w:r>
          </w:p>
        </w:tc>
        <w:tc>
          <w:tcPr>
            <w:tcW w:type="dxa" w:w="7098"/>
            <w:tcBorders>
              <w:left w:color="000001" w:space="0" w:sz="8" w:val="single"/>
              <w:bottom w:color="000001" w:space="0" w:sz="8" w:val="single"/>
            </w:tcBorders>
            <w:shd w:fill="FFFFFF" w:val="clear"/>
            <w:tcMar>
              <w:top w:type="dxa" w:w="0"/>
              <w:left w:type="dxa" w:w="10"/>
              <w:bottom w:type="dxa" w:w="0"/>
              <w:right w:type="dxa" w:w="10"/>
            </w:tcMar>
          </w:tcPr>
          <w:p>
            <w:pPr>
              <w:pStyle w:val="style0"/>
              <w:spacing w:line="100" w:lineRule="atLeast"/>
              <w:jc w:val="both"/>
            </w:pPr>
            <w:r>
              <w:rPr>
                <w:rStyle w:val="style16"/>
                <w:rFonts w:ascii="Arial" w:cs="Arial" w:hAnsi="Arial"/>
                <w:i w:val="false"/>
                <w:iCs w:val="false"/>
                <w:color w:val="262626"/>
                <w:shd w:fill="FFFFFF" w:val="clear"/>
                <w:lang w:val="mn-MN"/>
              </w:rPr>
              <w:t>2.Ажлын хэсэг байгуулах тухай /Гэмт хэрэг, зөрчлөөс урьдчилан сэргийлэх тухай хууль /Шинэчилсэн найруулга/-ийн төсөл болон хамт өргөн мэдүүлсэн хуулийн төслүүд/</w:t>
            </w:r>
          </w:p>
        </w:tc>
        <w:tc>
          <w:tcPr>
            <w:tcW w:type="dxa" w:w="1867"/>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spacing w:line="100" w:lineRule="atLeast"/>
              <w:jc w:val="center"/>
            </w:pPr>
            <w:r>
              <w:rPr/>
            </w:r>
          </w:p>
          <w:p>
            <w:pPr>
              <w:pStyle w:val="style27"/>
              <w:spacing w:line="100" w:lineRule="atLeast"/>
              <w:jc w:val="center"/>
            </w:pPr>
            <w:r>
              <w:rPr/>
            </w:r>
          </w:p>
          <w:p>
            <w:pPr>
              <w:pStyle w:val="style27"/>
              <w:spacing w:line="100" w:lineRule="atLeast"/>
              <w:jc w:val="center"/>
            </w:pPr>
            <w:r>
              <w:rPr>
                <w:rFonts w:ascii="Arial" w:cs="Arial" w:hAnsi="Arial"/>
                <w:lang w:val="mn-MN"/>
              </w:rPr>
              <w:t>4-5</w:t>
            </w:r>
          </w:p>
        </w:tc>
      </w:tr>
    </w:tbl>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Fonts w:ascii="Arial" w:cs="Arial" w:hAnsi="Arial"/>
          <w:b/>
          <w:i/>
          <w:lang w:val="mn-MN"/>
        </w:rPr>
        <w:t>Монгол Улсын Их Хурлын 2018 оны намрын ээлжит чуулганы</w:t>
      </w:r>
    </w:p>
    <w:p>
      <w:pPr>
        <w:pStyle w:val="style22"/>
        <w:spacing w:after="0" w:before="0" w:line="100" w:lineRule="atLeast"/>
        <w:contextualSpacing w:val="false"/>
        <w:jc w:val="center"/>
      </w:pPr>
      <w:r>
        <w:rPr>
          <w:rFonts w:ascii="Arial" w:cs="Arial" w:hAnsi="Arial"/>
          <w:b/>
          <w:i/>
          <w:lang w:val="mn-MN"/>
        </w:rPr>
        <w:t>Хууль зүйн</w:t>
      </w:r>
      <w:r>
        <w:rPr>
          <w:rFonts w:ascii="Arial" w:cs="Arial" w:hAnsi="Arial"/>
        </w:rPr>
        <w:t xml:space="preserve"> </w:t>
      </w:r>
      <w:r>
        <w:rPr>
          <w:rFonts w:ascii="Arial" w:cs="Arial" w:hAnsi="Arial"/>
          <w:b/>
          <w:i/>
          <w:lang w:val="mn-MN"/>
        </w:rPr>
        <w:t>байнгын хорооны 10 дугаар сарын 17-ны өдөр</w:t>
      </w:r>
      <w:r>
        <w:rPr>
          <w:rFonts w:ascii="Arial" w:cs="Arial" w:hAnsi="Arial"/>
        </w:rPr>
        <w:t xml:space="preserve"> </w:t>
      </w:r>
    </w:p>
    <w:p>
      <w:pPr>
        <w:pStyle w:val="style22"/>
        <w:spacing w:after="0" w:before="0" w:line="100" w:lineRule="atLeast"/>
        <w:contextualSpacing w:val="false"/>
        <w:jc w:val="center"/>
      </w:pPr>
      <w:r>
        <w:rPr>
          <w:rFonts w:ascii="Arial" w:cs="Arial" w:hAnsi="Arial"/>
          <w:b/>
          <w:i/>
          <w:lang w:val="mn-MN"/>
        </w:rPr>
        <w:t>/Лхагва гараг/-ийн хуралдааны товч тэмдэглэл</w:t>
      </w:r>
    </w:p>
    <w:p>
      <w:pPr>
        <w:pStyle w:val="style22"/>
        <w:spacing w:after="0" w:before="0" w:line="100" w:lineRule="atLeast"/>
        <w:contextualSpacing w:val="false"/>
      </w:pPr>
      <w:r>
        <w:rPr/>
      </w:r>
    </w:p>
    <w:p>
      <w:pPr>
        <w:pStyle w:val="style22"/>
        <w:spacing w:after="0" w:before="0" w:line="100" w:lineRule="atLeast"/>
        <w:contextualSpacing w:val="false"/>
        <w:jc w:val="both"/>
      </w:pPr>
      <w:bookmarkStart w:id="0" w:name="__UnoMark__11151_2131316772"/>
      <w:bookmarkEnd w:id="0"/>
      <w:r>
        <w:rPr>
          <w:rFonts w:ascii="Arial" w:cs="Arial" w:hAnsi="Arial"/>
          <w:lang w:val="mn-MN"/>
        </w:rPr>
        <w:tab/>
        <w:t>Хууль зүйн байнгын хорооны дарга Ш.Раднаасэд ирц, хэлэлцэх асуудлын дарааллыг танилцуулж, хуралдааныг даргалав.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i/>
          <w:lang w:val="mn-MN"/>
        </w:rPr>
        <w:tab/>
        <w:t xml:space="preserve">Хуралдаанд ирвэл зохих 18 гишүүнээс 10 гишүүн ирж, 55.6 хувийн ирцтэйгээр хуралдаан 11 цаг 17 минутад Төрийн ордны “Их Эзэн Чингис хаан” танхимд эхлэв.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i/>
          <w:color w:val="000000"/>
          <w:lang w:val="mn-MN"/>
        </w:rPr>
        <w:tab/>
        <w:t>Чөлөөтэй: Ж.Батзандан, Л.Болд, С.Бямбацогт, Ж.Ганбаатар, Б.Дэлгэрсайхан, Л.Мөнхбаатар, Ц.Нямдорж, С.Эрдэнэ.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rPr>
        <w:tab/>
      </w:r>
      <w:r>
        <w:rPr>
          <w:rStyle w:val="style17"/>
          <w:rFonts w:ascii="Arial" w:cs="Arial" w:hAnsi="Arial"/>
          <w:i/>
          <w:color w:val="000000"/>
          <w:shd w:fill="FFFFFF" w:val="clear"/>
          <w:lang w:val="mn-MN"/>
        </w:rPr>
        <w:t>Нэг.</w:t>
      </w:r>
      <w:r>
        <w:rPr>
          <w:rStyle w:val="style16"/>
          <w:rFonts w:ascii="Arial" w:cs="Arial" w:hAnsi="Arial"/>
          <w:color w:val="000000"/>
          <w:shd w:fill="FFFFFF" w:val="clear"/>
          <w:lang w:val="mn-MN"/>
        </w:rPr>
        <w:t xml:space="preserve"> </w:t>
      </w:r>
      <w:r>
        <w:rPr>
          <w:rStyle w:val="style16"/>
          <w:rFonts w:ascii="Arial" w:cs="Arial" w:hAnsi="Arial"/>
          <w:b/>
          <w:bCs/>
          <w:color w:val="000000"/>
          <w:shd w:fill="FFFFFF" w:val="clear"/>
          <w:lang w:val="mn-MN"/>
        </w:rPr>
        <w:t xml:space="preserve">Үндсэн хуулийн цэцийн 2018 оны 12 дугаар дүгнэлт </w:t>
      </w:r>
    </w:p>
    <w:p>
      <w:pPr>
        <w:pStyle w:val="style22"/>
        <w:spacing w:after="0" w:before="0" w:line="100" w:lineRule="atLeast"/>
        <w:contextualSpacing w:val="false"/>
        <w:jc w:val="both"/>
      </w:pPr>
      <w:r>
        <w:rPr>
          <w:rStyle w:val="style16"/>
          <w:rFonts w:ascii="Arial" w:cs="Arial" w:hAnsi="Arial"/>
          <w:b/>
          <w:bCs/>
          <w:i w:val="false"/>
          <w:iCs w:val="false"/>
          <w:color w:val="262626"/>
          <w:shd w:fill="FFFFFF" w:val="clear"/>
          <w:lang w:val="mn-MN"/>
        </w:rPr>
        <w:tab/>
      </w:r>
    </w:p>
    <w:p>
      <w:pPr>
        <w:pStyle w:val="style22"/>
        <w:spacing w:after="0" w:before="0" w:line="100" w:lineRule="atLeast"/>
        <w:contextualSpacing w:val="false"/>
        <w:jc w:val="both"/>
      </w:pPr>
      <w:r>
        <w:rPr>
          <w:rFonts w:ascii="Arial" w:cs="Arial" w:hAnsi="Arial"/>
          <w:color w:val="262626"/>
        </w:rPr>
        <w:tab/>
      </w:r>
      <w:r>
        <w:rPr>
          <w:rFonts w:ascii="Arial" w:cs="Arial" w:hAnsi="Arial"/>
          <w:lang w:val="mn-MN"/>
        </w:rPr>
        <w:t xml:space="preserve">Хуралдаанд </w:t>
      </w:r>
      <w:r>
        <w:rPr>
          <w:rStyle w:val="style17"/>
          <w:rFonts w:ascii="Arial" w:cs="Arial" w:hAnsi="Arial"/>
          <w:b w:val="false"/>
          <w:shd w:fill="FFFFFF" w:val="clear"/>
          <w:lang w:val="mn-MN"/>
        </w:rPr>
        <w:t xml:space="preserve">Хууль зүйн байнгын хорооны ажлын албаны ахлах зөвлөх М.Үнэнбат, зөвлөх Б.Хонгорзул, референт П.Хулан, Ч.Батбямба нар байлцав.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7"/>
          <w:rFonts w:ascii="Arial" w:cs="Arial" w:hAnsi="Arial"/>
          <w:b w:val="false"/>
          <w:shd w:fill="FFFFFF" w:val="clear"/>
          <w:lang w:val="mn-MN"/>
        </w:rPr>
        <w:tab/>
        <w:t>Цэцийн дүгнэлттэй холбогдуулан Улсын Их Хурлын гишүүдээс асуулт болон санал гараагүй болно.</w:t>
      </w:r>
    </w:p>
    <w:p>
      <w:pPr>
        <w:pStyle w:val="style22"/>
        <w:spacing w:after="0" w:before="0" w:line="100" w:lineRule="atLeast"/>
        <w:contextualSpacing w:val="false"/>
        <w:jc w:val="both"/>
      </w:pPr>
      <w:r>
        <w:rPr/>
      </w:r>
    </w:p>
    <w:p>
      <w:pPr>
        <w:pStyle w:val="style22"/>
        <w:jc w:val="both"/>
      </w:pPr>
      <w:r>
        <w:rPr>
          <w:rFonts w:ascii="Arial" w:cs="Arial" w:hAnsi="Arial"/>
          <w:shd w:fill="FFFFFF" w:val="clear"/>
        </w:rPr>
        <w:t> </w:t>
      </w:r>
      <w:r>
        <w:rPr>
          <w:rStyle w:val="style17"/>
          <w:rFonts w:ascii="Arial" w:cs="Arial" w:hAnsi="Arial"/>
          <w:shd w:fill="FFFFFF" w:val="clear"/>
        </w:rPr>
        <w:t xml:space="preserve">          </w:t>
      </w:r>
      <w:r>
        <w:rPr>
          <w:rStyle w:val="style17"/>
          <w:rFonts w:ascii="Arial" w:cs="Arial" w:hAnsi="Arial"/>
          <w:shd w:fill="FFFFFF" w:val="clear"/>
          <w:lang w:val="mn-MN"/>
        </w:rPr>
        <w:t xml:space="preserve">Ш.Раднаасэд: </w:t>
      </w:r>
      <w:r>
        <w:rPr>
          <w:rStyle w:val="style17"/>
          <w:rFonts w:ascii="Arial" w:cs="Arial" w:hAnsi="Arial"/>
          <w:b w:val="false"/>
          <w:bCs w:val="false"/>
          <w:shd w:fill="FFFFFF" w:val="clear"/>
          <w:lang w:val="mn-MN"/>
        </w:rPr>
        <w:t>Шүүхийн шийдвэр гүйцэтгэх тухай хуулийн 27 дугаар зүйлийн 27.1.5 дахь заалтад “төлбөр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 гэж заасан нь Монгол Улсын Үндсэн хуулийн Нэгдүгээр зүйлийн 2 дахь хэсгийн “. . . шударга ёс, . . . тэгш байдал . . . нь төрийн үйл ажиллагааны үндсэн зарчим мөн.” гэж заасныг зөрчсөн байна гэснийг хүлээн зөвшөөрөх нь зүйтэй гэсэн саналыг дэмжье гэсэн санал хураалт явуулъя.</w:t>
      </w:r>
    </w:p>
    <w:p>
      <w:pPr>
        <w:pStyle w:val="style22"/>
        <w:spacing w:after="0" w:before="0"/>
        <w:contextualSpacing w:val="false"/>
        <w:jc w:val="both"/>
      </w:pPr>
      <w:r>
        <w:rPr>
          <w:rFonts w:ascii="Arial" w:cs="Arial" w:hAnsi="Arial"/>
          <w:color w:val="FF6600"/>
          <w:shd w:fill="FFFFFF" w:val="clear"/>
        </w:rPr>
        <w:t> </w:t>
      </w:r>
      <w:r>
        <w:rPr>
          <w:rStyle w:val="style17"/>
          <w:rFonts w:ascii="Arial" w:cs="Arial" w:hAnsi="Arial"/>
          <w:shd w:fill="FFFFFF" w:val="clear"/>
        </w:rPr>
        <w:t xml:space="preserve">           </w:t>
      </w:r>
      <w:r>
        <w:rPr>
          <w:rStyle w:val="style17"/>
          <w:rFonts w:ascii="Arial" w:cs="Arial" w:hAnsi="Arial"/>
          <w:b w:val="false"/>
          <w:shd w:fill="FFFFFF" w:val="clear"/>
          <w:lang w:val="mn-MN"/>
        </w:rPr>
        <w:t>Зөвшөөрсөн:</w:t>
        <w:tab/>
        <w:tab/>
        <w:t>9</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1</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10</w:t>
      </w:r>
    </w:p>
    <w:p>
      <w:pPr>
        <w:pStyle w:val="style22"/>
        <w:spacing w:after="0" w:before="0"/>
        <w:contextualSpacing w:val="false"/>
      </w:pPr>
      <w:r>
        <w:rPr>
          <w:rStyle w:val="style17"/>
          <w:rFonts w:ascii="Arial" w:cs="Arial" w:hAnsi="Arial"/>
          <w:color w:val="000000"/>
          <w:shd w:fill="FFFFFF" w:val="clear"/>
        </w:rPr>
        <w:t>          </w:t>
      </w:r>
      <w:r>
        <w:rPr>
          <w:rStyle w:val="style17"/>
          <w:rFonts w:ascii="Arial" w:cs="Arial" w:hAnsi="Arial"/>
          <w:b w:val="false"/>
          <w:bCs w:val="false"/>
          <w:color w:val="000000"/>
          <w:shd w:fill="FFFFFF" w:val="clear"/>
        </w:rPr>
        <w:t xml:space="preserve">  </w:t>
      </w:r>
      <w:r>
        <w:rPr>
          <w:rStyle w:val="style17"/>
          <w:rFonts w:ascii="Arial" w:cs="Arial" w:hAnsi="Arial"/>
          <w:b w:val="false"/>
          <w:bCs w:val="false"/>
          <w:color w:val="000000"/>
          <w:shd w:fill="FFFFFF" w:val="clear"/>
          <w:lang w:val="mn-MN"/>
        </w:rPr>
        <w:t xml:space="preserve">90.0 </w:t>
      </w:r>
      <w:r>
        <w:rPr>
          <w:rStyle w:val="style17"/>
          <w:rFonts w:ascii="Arial" w:cs="Arial" w:hAnsi="Arial"/>
          <w:b w:val="false"/>
          <w:color w:val="000000"/>
          <w:shd w:fill="FFFFFF" w:val="clear"/>
          <w:lang w:val="mn-MN"/>
        </w:rPr>
        <w:t>хувийн саналаар дэмжигдлээ.</w:t>
      </w:r>
    </w:p>
    <w:p>
      <w:pPr>
        <w:pStyle w:val="style22"/>
        <w:spacing w:after="0" w:before="0"/>
        <w:contextualSpacing w:val="false"/>
      </w:pPr>
      <w:r>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Ш.Раднаасэд</w:t>
      </w:r>
      <w:r>
        <w:rPr>
          <w:rStyle w:val="style17"/>
          <w:rFonts w:ascii="Arial" w:cs="Arial" w:hAnsi="Arial"/>
          <w:b w:val="false"/>
          <w:color w:val="000000"/>
          <w:shd w:fill="FFFFFF" w:val="clear"/>
          <w:lang w:val="mn-MN"/>
        </w:rPr>
        <w:t>: Шүүхийн шийдвэр гүйцэтгэх тухай хуулийн 27 дугаар зүйлийн 1.5 дахь заалтад “төлбөр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 гэж заасан нь Монгол Улсын Үндсэн хуулийн  Арван зургадугаар зүйлийн 14 дэх заалтын “. . . эрх, эрх чөлөө нь зөрчигдсөн гэж үзвэл уул эрхээ хамгаалуулахаар шүүхэд гомдол гаргах . . . эрхтэй. . . “ гэж заасныг зөрчсөн байна гэснийг хүлээн зөвшөөрөх нь зүйтэй гэсэн саналыг дэмжье гэсэн санал хураалт явуулъя.</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FF6600"/>
          <w:shd w:fill="FFFFFF" w:val="clear"/>
        </w:rPr>
        <w:t> </w:t>
      </w:r>
      <w:r>
        <w:rPr>
          <w:rStyle w:val="style17"/>
          <w:rFonts w:ascii="Arial" w:cs="Arial" w:hAnsi="Arial"/>
          <w:shd w:fill="FFFFFF" w:val="clear"/>
        </w:rPr>
        <w:t xml:space="preserve">           </w:t>
      </w:r>
      <w:r>
        <w:rPr>
          <w:rStyle w:val="style17"/>
          <w:rFonts w:ascii="Arial" w:cs="Arial" w:hAnsi="Arial"/>
          <w:b w:val="false"/>
          <w:shd w:fill="FFFFFF" w:val="clear"/>
          <w:lang w:val="mn-MN"/>
        </w:rPr>
        <w:t>Зөвшөөрсөн:</w:t>
        <w:tab/>
        <w:tab/>
        <w:t>8</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2</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10</w:t>
      </w:r>
    </w:p>
    <w:p>
      <w:pPr>
        <w:pStyle w:val="style22"/>
        <w:spacing w:after="0" w:before="0"/>
        <w:contextualSpacing w:val="false"/>
      </w:pPr>
      <w:r>
        <w:rPr>
          <w:rStyle w:val="style17"/>
          <w:rFonts w:ascii="Arial" w:cs="Arial" w:hAnsi="Arial"/>
          <w:color w:val="000000"/>
          <w:shd w:fill="FFFFFF" w:val="clear"/>
        </w:rPr>
        <w:t>          </w:t>
      </w:r>
      <w:r>
        <w:rPr>
          <w:rStyle w:val="style17"/>
          <w:rFonts w:ascii="Arial" w:cs="Arial" w:hAnsi="Arial"/>
          <w:b w:val="false"/>
          <w:bCs w:val="false"/>
          <w:color w:val="000000"/>
          <w:shd w:fill="FFFFFF" w:val="clear"/>
        </w:rPr>
        <w:t xml:space="preserve">  </w:t>
      </w:r>
      <w:r>
        <w:rPr>
          <w:rStyle w:val="style17"/>
          <w:rFonts w:ascii="Arial" w:cs="Arial" w:hAnsi="Arial"/>
          <w:b w:val="false"/>
          <w:bCs w:val="false"/>
          <w:color w:val="000000"/>
          <w:shd w:fill="FFFFFF" w:val="clear"/>
          <w:lang w:val="mn-MN"/>
        </w:rPr>
        <w:t xml:space="preserve">80.0 </w:t>
      </w:r>
      <w:bookmarkStart w:id="1" w:name="_GoBack"/>
      <w:bookmarkEnd w:id="1"/>
      <w:r>
        <w:rPr>
          <w:rStyle w:val="style17"/>
          <w:rFonts w:ascii="Arial" w:cs="Arial" w:hAnsi="Arial"/>
          <w:b w:val="false"/>
          <w:color w:val="000000"/>
          <w:shd w:fill="FFFFFF" w:val="clear"/>
          <w:lang w:val="mn-MN"/>
        </w:rPr>
        <w:t>хувийн саналаар дэмжигдлээ.</w:t>
      </w:r>
    </w:p>
    <w:p>
      <w:pPr>
        <w:pStyle w:val="style22"/>
        <w:spacing w:after="0" w:before="0"/>
        <w:contextualSpacing w:val="false"/>
      </w:pPr>
      <w:r>
        <w:rPr/>
      </w:r>
    </w:p>
    <w:p>
      <w:pPr>
        <w:pStyle w:val="style22"/>
        <w:spacing w:after="0" w:before="0"/>
        <w:contextualSpacing w:val="false"/>
        <w:jc w:val="both"/>
      </w:pPr>
      <w:r>
        <w:rPr>
          <w:rStyle w:val="style17"/>
          <w:rFonts w:ascii="Arial" w:cs="Arial" w:hAnsi="Arial"/>
          <w:b w:val="false"/>
          <w:color w:val="000000"/>
          <w:shd w:fill="FFFFFF" w:val="clear"/>
          <w:lang w:val="mn-MN"/>
        </w:rPr>
        <w:tab/>
      </w:r>
      <w:r>
        <w:rPr>
          <w:rStyle w:val="style17"/>
          <w:rFonts w:ascii="Arial" w:cs="Arial" w:hAnsi="Arial"/>
          <w:color w:val="000000"/>
          <w:shd w:fill="FFFFFF" w:val="clear"/>
          <w:lang w:val="mn-MN"/>
        </w:rPr>
        <w:t>Ш.Раднаасэд</w:t>
      </w:r>
      <w:r>
        <w:rPr>
          <w:rStyle w:val="style17"/>
          <w:rFonts w:ascii="Arial" w:cs="Arial" w:hAnsi="Arial"/>
          <w:b w:val="false"/>
          <w:color w:val="000000"/>
          <w:shd w:fill="FFFFFF" w:val="clear"/>
          <w:lang w:val="mn-MN"/>
        </w:rPr>
        <w:t>: Шүүхийн шийдвэр гүйцэтгэх тухай хуулийн 73 дугаар зүйлийн 73.3 дахь хэсэгт “Энэ хуулийн 73.5-д зааснаас бусад тохиолдолд дуудлага худалдаагаар худалдан борлуулагдаагүй үл хөдлөх хөрөнгийг төлбөр авагчид шилжүүлэхдээ түүний үнийг 50 хувиар бууруулан тооцон олгоно. . . “ гэж заасан нь Монгол Улсын Үндсэн хуулийн Арван дөрөвдүгээр зүйлийн 1 дэх хэсгийн “Монгол Улсад хууль ёсоор оршин суугаа хүн бүр хууль, шүүхийн өмнө эрх тэгш байна.” гэж заасныг зөрчсөн байна гэснийг хүлээн зөвшөөрөх нь зүйтэй гэсэн саналыг дэмжье гэсэн санал хураалт явуулъя.</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FF6600"/>
          <w:shd w:fill="FFFFFF" w:val="clear"/>
        </w:rPr>
        <w:t> </w:t>
      </w:r>
      <w:r>
        <w:rPr>
          <w:rStyle w:val="style17"/>
          <w:rFonts w:ascii="Arial" w:cs="Arial" w:hAnsi="Arial"/>
          <w:shd w:fill="FFFFFF" w:val="clear"/>
        </w:rPr>
        <w:t xml:space="preserve">           </w:t>
      </w:r>
      <w:r>
        <w:rPr>
          <w:rStyle w:val="style17"/>
          <w:rFonts w:ascii="Arial" w:cs="Arial" w:hAnsi="Arial"/>
          <w:b w:val="false"/>
          <w:shd w:fill="FFFFFF" w:val="clear"/>
          <w:lang w:val="mn-MN"/>
        </w:rPr>
        <w:t>Зөвшөөрсөн:</w:t>
        <w:tab/>
        <w:tab/>
        <w:t>7</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Татгалзсан:</w:t>
        <w:tab/>
        <w:tab/>
        <w:tab/>
        <w:t>3</w:t>
      </w:r>
    </w:p>
    <w:p>
      <w:pPr>
        <w:pStyle w:val="style22"/>
        <w:spacing w:after="0" w:before="0"/>
        <w:contextualSpacing w:val="false"/>
        <w:jc w:val="both"/>
      </w:pPr>
      <w:r>
        <w:rPr>
          <w:rFonts w:ascii="Arial" w:cs="Arial" w:hAnsi="Arial"/>
          <w:shd w:fill="FFFFFF" w:val="clear"/>
        </w:rPr>
        <w:t xml:space="preserve">            </w:t>
      </w:r>
      <w:r>
        <w:rPr>
          <w:rFonts w:ascii="Arial" w:cs="Arial" w:hAnsi="Arial"/>
          <w:shd w:fill="FFFFFF" w:val="clear"/>
          <w:lang w:val="mn-MN"/>
        </w:rPr>
        <w:t>Бүгд:</w:t>
        <w:tab/>
        <w:tab/>
        <w:tab/>
        <w:tab/>
        <w:t>10</w:t>
      </w:r>
    </w:p>
    <w:p>
      <w:pPr>
        <w:pStyle w:val="style22"/>
        <w:spacing w:after="0" w:before="0"/>
        <w:contextualSpacing w:val="false"/>
      </w:pPr>
      <w:r>
        <w:rPr>
          <w:rStyle w:val="style17"/>
          <w:rFonts w:ascii="Arial" w:cs="Arial" w:hAnsi="Arial"/>
          <w:color w:val="000000"/>
          <w:shd w:fill="FFFFFF" w:val="clear"/>
        </w:rPr>
        <w:t>          </w:t>
      </w:r>
      <w:r>
        <w:rPr>
          <w:rStyle w:val="style17"/>
          <w:rFonts w:ascii="Arial" w:cs="Arial" w:hAnsi="Arial"/>
          <w:b w:val="false"/>
          <w:bCs w:val="false"/>
          <w:color w:val="000000"/>
          <w:shd w:fill="FFFFFF" w:val="clear"/>
        </w:rPr>
        <w:t xml:space="preserve">  </w:t>
      </w:r>
      <w:r>
        <w:rPr>
          <w:rStyle w:val="style17"/>
          <w:rFonts w:ascii="Arial" w:cs="Arial" w:hAnsi="Arial"/>
          <w:b w:val="false"/>
          <w:bCs w:val="false"/>
          <w:color w:val="000000"/>
          <w:shd w:fill="FFFFFF" w:val="clear"/>
          <w:lang w:val="mn-MN"/>
        </w:rPr>
        <w:t xml:space="preserve">70.0 </w:t>
      </w:r>
      <w:r>
        <w:rPr>
          <w:rStyle w:val="style17"/>
          <w:rFonts w:ascii="Arial" w:cs="Arial" w:hAnsi="Arial"/>
          <w:b w:val="false"/>
          <w:color w:val="000000"/>
          <w:shd w:fill="FFFFFF" w:val="clear"/>
          <w:lang w:val="mn-MN"/>
        </w:rPr>
        <w:t>хувийн саналаар дэмжигдлээ.</w:t>
      </w:r>
    </w:p>
    <w:p>
      <w:pPr>
        <w:pStyle w:val="style22"/>
        <w:spacing w:after="0" w:before="0"/>
        <w:contextualSpacing w:val="false"/>
      </w:pPr>
      <w:r>
        <w:rPr/>
      </w:r>
    </w:p>
    <w:p>
      <w:pPr>
        <w:pStyle w:val="style22"/>
        <w:spacing w:after="0" w:before="0"/>
        <w:contextualSpacing w:val="false"/>
        <w:jc w:val="both"/>
      </w:pPr>
      <w:r>
        <w:rPr>
          <w:rStyle w:val="style16"/>
          <w:rFonts w:ascii="Arial" w:cs="Arial" w:hAnsi="Arial"/>
          <w:i w:val="false"/>
          <w:color w:val="000000"/>
          <w:shd w:fill="FFFFFF" w:val="clear"/>
          <w:lang w:val="mn-MN"/>
        </w:rPr>
        <w:tab/>
        <w:t>Байнгын хорооноос гарах санал, дүгнэлтийг Улсын Их Хурлын гишүүн Н.Учрал Улсын Их Хурлын чуулганы нэгдсэн хуралдаанд танилцуулахаар тогтов.</w:t>
      </w:r>
    </w:p>
    <w:p>
      <w:pPr>
        <w:pStyle w:val="style22"/>
        <w:spacing w:after="0" w:before="0"/>
        <w:contextualSpacing w:val="false"/>
        <w:jc w:val="both"/>
      </w:pPr>
      <w:r>
        <w:rPr>
          <w:rFonts w:ascii="Arial" w:cs="Arial" w:hAnsi="Arial"/>
          <w:shd w:fill="FFFFFF" w:val="clear"/>
        </w:rPr>
        <w:t> </w:t>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Уг асуудлыг 11 цаг 21 минутад хэлэлцэж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rPr>
        <w:tab/>
      </w:r>
      <w:r>
        <w:rPr>
          <w:rFonts w:ascii="Arial" w:cs="Arial" w:hAnsi="Arial"/>
          <w:b/>
          <w:bCs/>
          <w:i/>
          <w:iCs/>
          <w:lang w:val="mn-MN"/>
        </w:rPr>
        <w:t xml:space="preserve">Хоёр. </w:t>
      </w:r>
      <w:r>
        <w:rPr>
          <w:rStyle w:val="style16"/>
          <w:rFonts w:ascii="Arial" w:cs="Arial" w:hAnsi="Arial"/>
          <w:b/>
          <w:bCs/>
          <w:iCs w:val="false"/>
          <w:color w:val="262626"/>
          <w:shd w:fill="FFFFFF" w:val="clear"/>
          <w:lang w:val="mn-MN"/>
        </w:rPr>
        <w:t>Ажлын хэсэг байгуулах тухай</w:t>
      </w:r>
      <w:r>
        <w:rPr>
          <w:rStyle w:val="style16"/>
          <w:rFonts w:ascii="Arial" w:cs="Arial" w:hAnsi="Arial"/>
          <w:i w:val="false"/>
          <w:iCs w:val="false"/>
          <w:color w:val="262626"/>
          <w:shd w:fill="FFFFFF" w:val="clear"/>
          <w:lang w:val="mn-MN"/>
        </w:rPr>
        <w:t xml:space="preserve"> </w:t>
      </w:r>
      <w:r>
        <w:rPr>
          <w:rStyle w:val="style16"/>
          <w:rFonts w:ascii="Arial" w:cs="Arial" w:hAnsi="Arial"/>
          <w:color w:val="262626"/>
          <w:shd w:fill="FFFFFF" w:val="clear"/>
          <w:lang w:val="mn-MN"/>
        </w:rPr>
        <w:t>/Гэмт хэрэг, зөрчлөөс урьдчилан сэргийлэх тухай хууль /Шинэчилсэн найруулга/-ийн төсөл болон хамт өргөн мэдүүлсэн хуулийн төслүүд/</w:t>
      </w:r>
    </w:p>
    <w:p>
      <w:pPr>
        <w:pStyle w:val="style22"/>
        <w:spacing w:after="0" w:before="0" w:line="100" w:lineRule="atLeast"/>
        <w:contextualSpacing w:val="false"/>
        <w:jc w:val="both"/>
      </w:pPr>
      <w:r>
        <w:rPr/>
      </w:r>
    </w:p>
    <w:p>
      <w:pPr>
        <w:pStyle w:val="style0"/>
        <w:spacing w:line="100" w:lineRule="atLeast"/>
        <w:jc w:val="both"/>
      </w:pPr>
      <w:r>
        <w:rPr>
          <w:rFonts w:ascii="Arial" w:cs="Arial" w:hAnsi="Arial"/>
          <w:lang w:val="mn-MN"/>
        </w:rPr>
        <w:tab/>
        <w:t xml:space="preserve">Хуралдаанд </w:t>
      </w:r>
      <w:r>
        <w:rPr>
          <w:rStyle w:val="style17"/>
          <w:rFonts w:ascii="Arial" w:cs="Arial" w:hAnsi="Arial"/>
          <w:b w:val="false"/>
          <w:shd w:fill="FFFFFF" w:val="clear"/>
          <w:lang w:val="mn-MN"/>
        </w:rPr>
        <w:t xml:space="preserve">Хууль зүйн байнгын хорооны ажлын албаны ахлах зөвлөх М.Үнэнбат, зөвлөх Б.Хонгорзул, референт П.Хулан, Ч.Батбямба нар байлцав. </w:t>
      </w:r>
    </w:p>
    <w:p>
      <w:pPr>
        <w:pStyle w:val="style0"/>
        <w:spacing w:line="100" w:lineRule="atLeast"/>
        <w:jc w:val="both"/>
      </w:pPr>
      <w:r>
        <w:rPr/>
      </w:r>
    </w:p>
    <w:p>
      <w:pPr>
        <w:pStyle w:val="style22"/>
        <w:spacing w:after="0" w:before="0" w:line="100" w:lineRule="atLeast"/>
        <w:contextualSpacing w:val="false"/>
        <w:jc w:val="both"/>
      </w:pPr>
      <w:r>
        <w:rPr/>
        <w:tab/>
      </w:r>
      <w:r>
        <w:rPr>
          <w:rFonts w:ascii="Arial" w:hAnsi="Arial"/>
          <w:lang w:val="mn-MN"/>
        </w:rPr>
        <w:t xml:space="preserve">Дээрх хуулийн төслийн ажлын хэсгийн ахлагчаар Улсын Их Хурлын гишүүн Ц.Гарамжавыг томилов. </w:t>
      </w:r>
    </w:p>
    <w:p>
      <w:pPr>
        <w:pStyle w:val="style22"/>
        <w:spacing w:after="0" w:before="0" w:line="100" w:lineRule="atLeast"/>
        <w:contextualSpacing w:val="false"/>
        <w:jc w:val="both"/>
      </w:pPr>
      <w:r>
        <w:rPr/>
      </w:r>
    </w:p>
    <w:p>
      <w:pPr>
        <w:pStyle w:val="style0"/>
        <w:spacing w:line="100" w:lineRule="atLeast"/>
        <w:jc w:val="both"/>
      </w:pPr>
      <w:r>
        <w:rPr>
          <w:rStyle w:val="style16"/>
          <w:rFonts w:ascii="Arial" w:cs="Arial" w:hAnsi="Arial"/>
          <w:color w:val="000000"/>
          <w:shd w:fill="FFFFFF" w:val="clear"/>
          <w:lang w:val="mn-MN"/>
        </w:rPr>
        <w:tab/>
        <w:t>Хуралдаан 06 минут үргэлжилж, 18 гишүүнээс 10 гишүүн ирж, 55.6 хувийн ирцтэйгээр 11 цаг 23 минутад өндөрлөв.</w:t>
      </w:r>
    </w:p>
    <w:p>
      <w:pPr>
        <w:pStyle w:val="style22"/>
        <w:spacing w:after="0" w:before="0" w:line="100" w:lineRule="atLeast"/>
        <w:contextualSpacing w:val="false"/>
        <w:jc w:val="both"/>
      </w:pPr>
      <w:r>
        <w:rPr>
          <w:rFonts w:ascii="Arial" w:cs="Arial" w:hAnsi="Arial"/>
          <w:color w:val="000000"/>
          <w:shd w:fill="FFFFFF" w:val="clear"/>
        </w:rPr>
        <w:t>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Тэмдэглэлтэй танилцсан: </w:t>
      </w:r>
    </w:p>
    <w:p>
      <w:pPr>
        <w:pStyle w:val="style22"/>
        <w:spacing w:after="0" w:before="0" w:line="100" w:lineRule="atLeast"/>
        <w:contextualSpacing w:val="false"/>
        <w:jc w:val="both"/>
      </w:pPr>
      <w:r>
        <w:rPr>
          <w:rFonts w:ascii="Arial" w:cs="Arial" w:hAnsi="Arial"/>
          <w:lang w:val="mn-MN"/>
        </w:rPr>
        <w:tab/>
        <w:t>ХУУЛЬ ЗҮЙН БАЙНГЫН</w:t>
      </w:r>
    </w:p>
    <w:p>
      <w:pPr>
        <w:pStyle w:val="style22"/>
        <w:spacing w:after="0" w:before="0" w:line="100" w:lineRule="atLeast"/>
        <w:contextualSpacing w:val="false"/>
        <w:jc w:val="both"/>
      </w:pPr>
      <w:r>
        <w:rPr>
          <w:rFonts w:ascii="Arial" w:cs="Arial" w:hAnsi="Arial"/>
          <w:lang w:val="mn-MN"/>
        </w:rPr>
        <w:tab/>
        <w:t xml:space="preserve">ХОРООНЫ ДАРГА </w:t>
        <w:tab/>
        <w:tab/>
        <w:tab/>
        <w:tab/>
        <w:tab/>
        <w:t>Ш.РАДНААСЭД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lang w:val="mn-MN"/>
        </w:rPr>
        <w:tab/>
        <w:t xml:space="preserve">Тэмдэглэл хөтөлсөн: </w:t>
      </w:r>
    </w:p>
    <w:p>
      <w:pPr>
        <w:pStyle w:val="style22"/>
        <w:spacing w:after="0" w:before="0" w:line="100" w:lineRule="atLeast"/>
        <w:contextualSpacing w:val="false"/>
        <w:jc w:val="both"/>
      </w:pPr>
      <w:r>
        <w:rPr>
          <w:rFonts w:ascii="Arial" w:cs="Arial" w:hAnsi="Arial"/>
          <w:lang w:val="mn-MN"/>
        </w:rPr>
        <w:tab/>
        <w:t>ПРОТОКОЛЫН АЛБАНЫ</w:t>
      </w:r>
    </w:p>
    <w:p>
      <w:pPr>
        <w:pStyle w:val="style22"/>
        <w:spacing w:after="0" w:before="0" w:line="1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ШИНЖЭЭЧ</w:t>
        <w:tab/>
        <w:tab/>
        <w:tab/>
        <w:tab/>
        <w:tab/>
        <w:tab/>
        <w:tab/>
        <w:t>Д.ЦЭНДСҮРЭН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НАМРЫН ЭЭЛЖИТ </w:t>
      </w:r>
    </w:p>
    <w:p>
      <w:pPr>
        <w:pStyle w:val="style22"/>
        <w:spacing w:after="0" w:before="0" w:line="100" w:lineRule="atLeast"/>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ХУУЛЬ ЗҮЙН БАЙНГЫН ХОРООНЫ </w:t>
      </w:r>
    </w:p>
    <w:p>
      <w:pPr>
        <w:pStyle w:val="style22"/>
        <w:spacing w:after="0" w:before="0" w:line="100" w:lineRule="atLeast"/>
        <w:contextualSpacing w:val="false"/>
        <w:jc w:val="center"/>
      </w:pPr>
      <w:r>
        <w:rPr>
          <w:rFonts w:ascii="Arial" w:cs="Arial" w:hAnsi="Arial"/>
          <w:b/>
          <w:lang w:val="mn-MN"/>
        </w:rPr>
        <w:t xml:space="preserve">10 ДУГААР САРЫН 17-НЫ ӨДӨР /ЛХАГВА ГАРАГ/-ИЙН </w:t>
      </w:r>
    </w:p>
    <w:p>
      <w:pPr>
        <w:pStyle w:val="style22"/>
        <w:spacing w:after="0" w:before="0" w:line="100" w:lineRule="atLeast"/>
        <w:contextualSpacing w:val="false"/>
        <w:jc w:val="center"/>
      </w:pPr>
      <w:r>
        <w:rPr>
          <w:rFonts w:ascii="Arial" w:cs="Arial" w:hAnsi="Arial"/>
          <w:b/>
          <w:lang w:val="mn-MN"/>
        </w:rPr>
        <w:t>ХУРАЛДААНЫ ДЭЛГЭРЭНГҮЙ ТЭМДЭГЛЭЛ</w:t>
      </w:r>
    </w:p>
    <w:p>
      <w:pPr>
        <w:pStyle w:val="style22"/>
        <w:spacing w:after="0" w:before="0" w:line="100" w:lineRule="atLeast"/>
        <w:contextualSpacing w:val="false"/>
        <w:jc w:val="both"/>
      </w:pPr>
      <w:r>
        <w:rPr/>
      </w:r>
    </w:p>
    <w:p>
      <w:pPr>
        <w:pStyle w:val="style0"/>
      </w:pPr>
      <w:r>
        <w:rPr/>
      </w:r>
    </w:p>
    <w:p>
      <w:pPr>
        <w:pStyle w:val="style0"/>
      </w:pPr>
      <w:r>
        <w:rPr>
          <w:rFonts w:ascii="Arial" w:hAnsi="Arial"/>
        </w:rPr>
        <w:tab/>
      </w:r>
      <w:r>
        <w:rPr>
          <w:rFonts w:ascii="Arial" w:hAnsi="Arial"/>
          <w:b/>
          <w:bCs/>
          <w:lang w:val="mn-MN"/>
        </w:rPr>
        <w:t>Ш.Раднаасэд</w:t>
      </w:r>
      <w:r>
        <w:rPr>
          <w:rFonts w:ascii="Arial" w:hAnsi="Arial"/>
          <w:lang w:val="mn-MN"/>
        </w:rPr>
        <w:t xml:space="preserve">: 10 сарын 17-ны өдрийн хуралдаан нээснийг мэдэгдье. </w:t>
      </w:r>
    </w:p>
    <w:p>
      <w:pPr>
        <w:pStyle w:val="style0"/>
      </w:pPr>
      <w:r>
        <w:rPr/>
      </w:r>
    </w:p>
    <w:p>
      <w:pPr>
        <w:pStyle w:val="style0"/>
        <w:jc w:val="both"/>
      </w:pPr>
      <w:r>
        <w:rPr>
          <w:rFonts w:ascii="Arial" w:hAnsi="Arial"/>
          <w:lang w:val="mn-MN"/>
        </w:rPr>
        <w:tab/>
        <w:t xml:space="preserve">Хэлэлцэх асуудал:  Үндсэн хуулийн цэцийн 2018 оны 12 дугаар дүгнэлт байгаа. </w:t>
      </w:r>
    </w:p>
    <w:p>
      <w:pPr>
        <w:pStyle w:val="style0"/>
      </w:pPr>
      <w:r>
        <w:rPr/>
      </w:r>
    </w:p>
    <w:p>
      <w:pPr>
        <w:pStyle w:val="style0"/>
      </w:pPr>
      <w:r>
        <w:rPr>
          <w:rFonts w:ascii="Arial" w:hAnsi="Arial"/>
          <w:lang w:val="mn-MN"/>
        </w:rPr>
        <w:tab/>
        <w:t xml:space="preserve">Хоёрт нь, Ажлын хэсэг байгуулах. </w:t>
      </w:r>
    </w:p>
    <w:p>
      <w:pPr>
        <w:pStyle w:val="style0"/>
      </w:pPr>
      <w:r>
        <w:rPr/>
      </w:r>
    </w:p>
    <w:p>
      <w:pPr>
        <w:pStyle w:val="style0"/>
      </w:pPr>
      <w:r>
        <w:rPr>
          <w:rFonts w:ascii="Arial" w:hAnsi="Arial"/>
          <w:lang w:val="mn-MN"/>
        </w:rPr>
        <w:tab/>
        <w:t>Хэлэлцэх асуудал дээр саналтай гишүүн байна уу? Алга байна.</w:t>
      </w:r>
    </w:p>
    <w:p>
      <w:pPr>
        <w:pStyle w:val="style0"/>
      </w:pPr>
      <w:r>
        <w:rPr/>
      </w:r>
    </w:p>
    <w:p>
      <w:pPr>
        <w:pStyle w:val="style0"/>
        <w:jc w:val="both"/>
      </w:pPr>
      <w:r>
        <w:rPr>
          <w:rFonts w:ascii="Arial" w:hAnsi="Arial"/>
          <w:lang w:val="mn-MN"/>
        </w:rPr>
        <w:tab/>
        <w:t xml:space="preserve">Шүүхийн шийдвэр гүйцэтгэх тухай хуулийн зарим заалт Үндсэн хуулийн холбогдох заалтыг зөрчсөн тухай маргааныг  Үндсэн хуулийн цэц  10 сарын 10-ны өдөр хянан хэлэлцээд, 12 дугаар дүгнэлт гэж гаргаж ирүүлсэн байгаа. Энэ дүгнэлтийг хэлэлцье. </w:t>
      </w:r>
    </w:p>
    <w:p>
      <w:pPr>
        <w:pStyle w:val="style0"/>
      </w:pPr>
      <w:r>
        <w:rPr/>
      </w:r>
    </w:p>
    <w:p>
      <w:pPr>
        <w:pStyle w:val="style0"/>
      </w:pPr>
      <w:r>
        <w:rPr>
          <w:rFonts w:ascii="Arial" w:hAnsi="Arial"/>
          <w:lang w:val="mn-MN"/>
        </w:rPr>
        <w:tab/>
        <w:t xml:space="preserve">Дунд суудлын хуралдаанд Учрал гишүүн оролцсон байгаа. Цэцийн дүгнэлт гишүүдэд тараагдсан байгаа. </w:t>
      </w:r>
    </w:p>
    <w:p>
      <w:pPr>
        <w:pStyle w:val="style0"/>
      </w:pPr>
      <w:r>
        <w:rPr/>
      </w:r>
    </w:p>
    <w:p>
      <w:pPr>
        <w:pStyle w:val="style0"/>
      </w:pPr>
      <w:r>
        <w:rPr>
          <w:rFonts w:ascii="Arial" w:hAnsi="Arial"/>
          <w:lang w:val="mn-MN"/>
        </w:rPr>
        <w:tab/>
        <w:t xml:space="preserve">Асуух асуулттай болон үг хэлэх гишүүн байна уу?  </w:t>
      </w:r>
    </w:p>
    <w:p>
      <w:pPr>
        <w:pStyle w:val="style0"/>
      </w:pPr>
      <w:r>
        <w:rPr/>
      </w:r>
    </w:p>
    <w:p>
      <w:pPr>
        <w:pStyle w:val="style0"/>
      </w:pPr>
      <w:r>
        <w:rPr>
          <w:rFonts w:ascii="Arial" w:hAnsi="Arial"/>
          <w:lang w:val="mn-MN"/>
        </w:rPr>
        <w:tab/>
        <w:t xml:space="preserve">Учрал гишүүн хаана байна? </w:t>
      </w:r>
    </w:p>
    <w:p>
      <w:pPr>
        <w:pStyle w:val="style0"/>
      </w:pPr>
      <w:r>
        <w:rPr/>
      </w:r>
    </w:p>
    <w:p>
      <w:pPr>
        <w:pStyle w:val="style0"/>
      </w:pPr>
      <w:r>
        <w:rPr>
          <w:rFonts w:ascii="Arial" w:hAnsi="Arial"/>
          <w:lang w:val="mn-MN"/>
        </w:rPr>
        <w:tab/>
        <w:t>Үг хэлэх асуух асуулттай гишүүн байна уу? Алга уу? Байхгүй байна.</w:t>
      </w:r>
    </w:p>
    <w:p>
      <w:pPr>
        <w:pStyle w:val="style0"/>
      </w:pPr>
      <w:r>
        <w:rPr/>
      </w:r>
    </w:p>
    <w:p>
      <w:pPr>
        <w:pStyle w:val="style0"/>
      </w:pPr>
      <w:r>
        <w:rPr>
          <w:rFonts w:ascii="Arial" w:hAnsi="Arial"/>
          <w:lang w:val="mn-MN"/>
        </w:rPr>
        <w:tab/>
        <w:t>Санал хураалт явуулъя.</w:t>
      </w:r>
    </w:p>
    <w:p>
      <w:pPr>
        <w:pStyle w:val="style0"/>
      </w:pPr>
      <w:r>
        <w:rPr/>
      </w:r>
    </w:p>
    <w:p>
      <w:pPr>
        <w:pStyle w:val="style0"/>
        <w:jc w:val="both"/>
      </w:pPr>
      <w:r>
        <w:rPr>
          <w:rFonts w:ascii="Arial" w:hAnsi="Arial"/>
          <w:lang w:val="mn-MN"/>
        </w:rPr>
        <w:tab/>
        <w:t>Шүүхийн шийдвэр гүйцэтгэх тухай хуулийн 27 дугаар зүйлийн 27.1.5 дахь заалтад “төлбөр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 гэж заасан нь Монгол Улсын Үндсэн хуулийн Нэгдүгээр зүйлийн 2 дахь хэсгийн “. . . шударга ёс, . . . тэгш байдал . . . нь төрийн үйл ажиллагааны үндсэн зарчим мөн.” гэж заасныг зөрчсөн байна гэснийг хүлээн зөвшөөрөх нь зүйтэй гэсэн томьёоллоор санал хураая.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90.0 хувиар санал дэмжигдлээ.</w:t>
      </w:r>
    </w:p>
    <w:p>
      <w:pPr>
        <w:pStyle w:val="style0"/>
      </w:pPr>
      <w:r>
        <w:rPr/>
      </w:r>
    </w:p>
    <w:p>
      <w:pPr>
        <w:pStyle w:val="style0"/>
        <w:jc w:val="both"/>
      </w:pPr>
      <w:r>
        <w:rPr>
          <w:rFonts w:ascii="Arial" w:hAnsi="Arial"/>
          <w:lang w:val="mn-MN"/>
        </w:rPr>
        <w:tab/>
        <w:t>Хоёрт нь, Шүүхийн шийдвэр гүйцэтгэх тухай хуулийн 27 дугаар зүйлийн 1.5 дахь заалтад “төлбөр гаргуулж болох  хөрөнгө, орлого байхгүй бөгөөд хуульд заасан аргаар түүний хөрөнгө, орлогыг албадан гаргуулах боломжгүй бол төлбөр төлөгчийг хөрөнгөтэй болох хүртэл” гэж заасан нь Монгол Улсын Үндсэн хуулийн  Арван зургадугаар зүйлийн 14 дэх заалтын “. . .эрх, эрх чөлөө нь зөрчигдсөн гэж үзвэл уул эрхээ хамгаалуулахаар шүүхэд гомдол гаргах . . . эрхтэй. . . “ гэж заасныг зөрчсөн байна гэснийг хүлээн зөвшөөрөх нь зүйтэй гэсэн томьёоллоор санал хураая.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80.0 хувиар санал дэмжигдлээ.</w:t>
      </w:r>
    </w:p>
    <w:p>
      <w:pPr>
        <w:pStyle w:val="style0"/>
        <w:jc w:val="both"/>
      </w:pPr>
      <w:r>
        <w:rPr/>
      </w:r>
    </w:p>
    <w:p>
      <w:pPr>
        <w:pStyle w:val="style0"/>
        <w:jc w:val="both"/>
      </w:pPr>
      <w:r>
        <w:rPr>
          <w:rFonts w:ascii="Arial" w:hAnsi="Arial"/>
          <w:lang w:val="mn-MN"/>
        </w:rPr>
        <w:tab/>
        <w:t>Шүүхийн шийдвэр гүйцэтгэх тухай хуулийн 73 дугаар зүйлийн 73.3 дахь хэсэгт “Энэ хуулийн 73.5-д зааснаас бусад тохиолдолд дуудлага худалдаагаар худалдан борлуулагдаагүй үл хөдлөх хөрөнгийг төлбөр авагчид шилжүүлэхдээ түүний үнийг 50 хувиар бууруулан тооцон олгоно. . . “ гэж заасан нь Монгол Улсын Үндсэн хуулийн Арван дөрөвдүгээр зүйлийн 1 дэх хэсгийн “Монгол Улсад хууль ёсоор оршин суугаа хүн бүр хууль, шүүхийн өмнө эрх тэгш байна.” гэж заасныг зөрчсөн байна гэснийг хүлээн зөвшөөрөх нь зүйтэй гэсэн томьёоллоор санал хураая.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70.0 хувиар санал дэмжигдлээ.</w:t>
      </w:r>
    </w:p>
    <w:p>
      <w:pPr>
        <w:pStyle w:val="style0"/>
        <w:jc w:val="both"/>
      </w:pPr>
      <w:r>
        <w:rPr/>
      </w:r>
    </w:p>
    <w:p>
      <w:pPr>
        <w:pStyle w:val="style0"/>
        <w:jc w:val="both"/>
      </w:pPr>
      <w:r>
        <w:rPr>
          <w:rFonts w:ascii="Arial" w:hAnsi="Arial"/>
          <w:lang w:val="mn-MN"/>
        </w:rPr>
        <w:tab/>
        <w:t xml:space="preserve">Энэ чинь одоо ингээд хүлээж авчхаар чуулганаар оруулаад, хууль өөрчлөх юмаа бид нар хийхээс өөр аргагүй байдалд орж байна шүү дээ, тийм үү? Энэ чинь дунд суудал дээрээ ингэж байгаа учраас. </w:t>
      </w:r>
    </w:p>
    <w:p>
      <w:pPr>
        <w:pStyle w:val="style0"/>
        <w:jc w:val="both"/>
      </w:pPr>
      <w:r>
        <w:rPr/>
      </w:r>
    </w:p>
    <w:p>
      <w:pPr>
        <w:pStyle w:val="style0"/>
        <w:jc w:val="both"/>
      </w:pPr>
      <w:r>
        <w:rPr>
          <w:rFonts w:ascii="Arial" w:hAnsi="Arial"/>
          <w:lang w:val="mn-MN"/>
        </w:rPr>
        <w:tab/>
        <w:t>Чуулганы нэгдсэн хуралдаанд Байнгын хорооны санал, дүгнэлтийг Учрал гишүүн танилцуулна.</w:t>
      </w:r>
    </w:p>
    <w:p>
      <w:pPr>
        <w:pStyle w:val="style0"/>
        <w:jc w:val="both"/>
      </w:pPr>
      <w:r>
        <w:rPr/>
      </w:r>
    </w:p>
    <w:p>
      <w:pPr>
        <w:pStyle w:val="style0"/>
        <w:jc w:val="both"/>
      </w:pPr>
      <w:r>
        <w:rPr>
          <w:rFonts w:ascii="Arial" w:hAnsi="Arial"/>
          <w:lang w:val="mn-MN"/>
        </w:rPr>
        <w:tab/>
      </w:r>
      <w:r>
        <w:rPr>
          <w:rFonts w:ascii="Arial" w:hAnsi="Arial"/>
          <w:b/>
          <w:bCs/>
          <w:iCs/>
          <w:lang w:val="mn-MN"/>
        </w:rPr>
        <w:t>Дараагийн асуудал. Ажлын хэсэг байгуулах тухай</w:t>
      </w:r>
    </w:p>
    <w:p>
      <w:pPr>
        <w:pStyle w:val="style0"/>
        <w:jc w:val="both"/>
      </w:pPr>
      <w:r>
        <w:rPr/>
      </w:r>
    </w:p>
    <w:p>
      <w:pPr>
        <w:pStyle w:val="style0"/>
        <w:jc w:val="both"/>
      </w:pPr>
      <w:r>
        <w:rPr>
          <w:rFonts w:ascii="Arial" w:hAnsi="Arial"/>
          <w:lang w:val="mn-MN"/>
        </w:rPr>
        <w:tab/>
        <w:t>Гэмт хэрэг, зөрчлөөс урьдчилан сэргийлэх тухай хуулийн шинэчилсэн найруулгын төсөл, холбогдох бусад хуулийн төслүүд ороод ирсэн байгаа.</w:t>
      </w:r>
    </w:p>
    <w:p>
      <w:pPr>
        <w:pStyle w:val="style0"/>
        <w:jc w:val="both"/>
      </w:pPr>
      <w:r>
        <w:rPr/>
      </w:r>
    </w:p>
    <w:p>
      <w:pPr>
        <w:pStyle w:val="style0"/>
        <w:jc w:val="both"/>
      </w:pPr>
      <w:r>
        <w:rPr>
          <w:rFonts w:ascii="Arial" w:hAnsi="Arial"/>
          <w:lang w:val="mn-MN"/>
        </w:rPr>
        <w:tab/>
        <w:t>Ганболд, Мөнхбаатар, Нямбаатар, Оюундарь, Раднаасэд, Учрал, Энх-Амгалан, Энхболд, Дэлгэрсайхан, Гарамжав, Ганбаатар гэсэн хүмүүс байна.</w:t>
      </w:r>
    </w:p>
    <w:p>
      <w:pPr>
        <w:pStyle w:val="style0"/>
        <w:jc w:val="both"/>
      </w:pPr>
      <w:r>
        <w:rPr/>
      </w:r>
    </w:p>
    <w:p>
      <w:pPr>
        <w:pStyle w:val="style0"/>
        <w:jc w:val="both"/>
      </w:pPr>
      <w:r>
        <w:rPr>
          <w:rFonts w:ascii="Arial" w:hAnsi="Arial"/>
          <w:lang w:val="mn-MN"/>
        </w:rPr>
        <w:tab/>
        <w:t xml:space="preserve">Гарамжав гишүүнээр ахлуулъя. </w:t>
      </w:r>
    </w:p>
    <w:p>
      <w:pPr>
        <w:pStyle w:val="style0"/>
        <w:jc w:val="both"/>
      </w:pPr>
      <w:r>
        <w:rPr/>
      </w:r>
    </w:p>
    <w:p>
      <w:pPr>
        <w:pStyle w:val="style0"/>
        <w:jc w:val="both"/>
      </w:pPr>
      <w:r>
        <w:rPr>
          <w:rFonts w:ascii="Arial" w:hAnsi="Arial"/>
          <w:lang w:val="mn-MN"/>
        </w:rPr>
        <w:tab/>
        <w:t xml:space="preserve">Ажлын хэсгийг Гарамжав гишүүнээр ахлуулахаар боллоо. </w:t>
      </w:r>
    </w:p>
    <w:p>
      <w:pPr>
        <w:pStyle w:val="style0"/>
        <w:jc w:val="both"/>
      </w:pPr>
      <w:r>
        <w:rPr/>
      </w:r>
    </w:p>
    <w:p>
      <w:pPr>
        <w:pStyle w:val="style0"/>
        <w:jc w:val="both"/>
      </w:pPr>
      <w:r>
        <w:rPr>
          <w:rFonts w:ascii="Arial" w:hAnsi="Arial"/>
          <w:lang w:val="mn-MN"/>
        </w:rPr>
        <w:tab/>
        <w:t>Тэгээд ажлын хэсэгт орох гишүүдийг жич ахлагчтай нь ярьж байж гаргая.</w:t>
      </w:r>
    </w:p>
    <w:p>
      <w:pPr>
        <w:pStyle w:val="style0"/>
        <w:jc w:val="both"/>
      </w:pPr>
      <w:r>
        <w:rPr/>
      </w:r>
    </w:p>
    <w:p>
      <w:pPr>
        <w:pStyle w:val="style0"/>
        <w:jc w:val="both"/>
      </w:pPr>
      <w:r>
        <w:rPr>
          <w:rFonts w:ascii="Arial" w:hAnsi="Arial"/>
          <w:lang w:val="mn-MN"/>
        </w:rPr>
        <w:tab/>
        <w:t>Ингээд өнөөдрийн Байнгын хорооны хуралдаанаар хэлэлцэх асуудал дууслаа.</w:t>
      </w:r>
    </w:p>
    <w:p>
      <w:pPr>
        <w:pStyle w:val="style0"/>
        <w:jc w:val="both"/>
      </w:pPr>
      <w:r>
        <w:rPr/>
      </w:r>
    </w:p>
    <w:p>
      <w:pPr>
        <w:pStyle w:val="style0"/>
        <w:jc w:val="both"/>
      </w:pPr>
      <w:r>
        <w:rPr>
          <w:rFonts w:ascii="Arial" w:hAnsi="Arial"/>
          <w:lang w:val="mn-MN"/>
        </w:rPr>
        <w:tab/>
        <w:t>Хуралдаанд ирсэн гишүүдэд баярлалаа.</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ab/>
        <w:t>Д.ЦЭНДСҮРЭН</w:t>
      </w:r>
    </w:p>
    <w:sectPr>
      <w:footerReference r:id="rId2" w:type="default"/>
      <w:type w:val="nextPage"/>
      <w:pgSz w:h="15840" w:w="12240"/>
      <w:pgMar w:bottom="1134" w:footer="397" w:gutter="0" w:header="0" w:left="2000" w:right="865"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p>
    <w:pPr>
      <w:pStyle w:val="style0"/>
      <w:jc w:val="right"/>
    </w:pPr>
    <w:r>
      <w:rPr/>
    </w:r>
  </w:p>
  <w:p>
    <w:pPr>
      <w:pStyle w:val="style28"/>
      <w:ind w:hanging="0" w:left="0" w:right="360"/>
    </w:pPr>
    <w:r>
      <w:rPr/>
    </w:r>
  </w:p>
</w:ft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character">
    <w:name w:val="Footer Char"/>
    <w:basedOn w:val="style15"/>
    <w:next w:val="style18"/>
    <w:rPr>
      <w:rFonts w:ascii="Times New Roman" w:cs="Mangal" w:eastAsia="SimSun" w:hAnsi="Times New Roman"/>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2018-10-18T09:15:00.00Z</dcterms:created>
  <cp:lastModifiedBy>Microsoft Office User</cp:lastModifiedBy>
  <cp:lastPrinted>2018-10-19T05:19:31.41Z</cp:lastPrinted>
  <dcterms:modified xsi:type="dcterms:W3CDTF">2018-10-18T09:15:00.00Z</dcterms:modified>
  <cp:revision>2</cp:revision>
</cp:coreProperties>
</file>