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E9E941A" w14:textId="5D9B185D" w:rsidR="00A00D3E" w:rsidRDefault="00A00D3E" w:rsidP="00A00D3E">
      <w:pPr>
        <w:spacing w:line="360" w:lineRule="auto"/>
        <w:contextualSpacing/>
        <w:rPr>
          <w:rFonts w:ascii="Arial" w:hAnsi="Arial" w:cs="Arial"/>
          <w:b/>
          <w:bCs/>
          <w:shd w:val="clear" w:color="auto" w:fill="FFFFFF"/>
        </w:rPr>
      </w:pPr>
    </w:p>
    <w:p w14:paraId="22027D21" w14:textId="77777777" w:rsidR="00364D25" w:rsidRPr="00D264EC" w:rsidRDefault="00364D25" w:rsidP="00A00D3E">
      <w:pPr>
        <w:spacing w:line="360" w:lineRule="auto"/>
        <w:contextualSpacing/>
        <w:rPr>
          <w:rFonts w:ascii="Arial" w:hAnsi="Arial" w:cs="Arial"/>
          <w:b/>
          <w:bCs/>
          <w:shd w:val="clear" w:color="auto" w:fill="FFFFFF"/>
        </w:rPr>
      </w:pPr>
    </w:p>
    <w:p w14:paraId="73EF15ED" w14:textId="77777777" w:rsidR="00B37105" w:rsidRPr="00BE6DD1" w:rsidRDefault="00B37105" w:rsidP="00B37105">
      <w:pPr>
        <w:tabs>
          <w:tab w:val="left" w:pos="2552"/>
        </w:tabs>
        <w:contextualSpacing/>
        <w:jc w:val="center"/>
        <w:rPr>
          <w:rFonts w:ascii="Arial" w:eastAsia="Calibri" w:hAnsi="Arial" w:cs="Arial"/>
          <w:b/>
          <w:lang w:val="mn-MN"/>
        </w:rPr>
      </w:pPr>
      <w:r w:rsidRPr="00BE6DD1">
        <w:rPr>
          <w:rFonts w:ascii="Arial" w:eastAsia="Calibri" w:hAnsi="Arial" w:cs="Arial"/>
          <w:b/>
          <w:bCs/>
          <w:caps/>
          <w:lang w:val="mn-MN"/>
        </w:rPr>
        <w:t xml:space="preserve">     ЦӨМИЙН ЭНЕРГИЙН ТУХАЙ </w:t>
      </w:r>
      <w:r w:rsidRPr="00BE6DD1">
        <w:rPr>
          <w:rFonts w:ascii="Arial" w:eastAsia="Calibri" w:hAnsi="Arial" w:cs="Arial"/>
          <w:b/>
          <w:lang w:val="mn-MN"/>
        </w:rPr>
        <w:t xml:space="preserve">ХУУЛЬД </w:t>
      </w:r>
    </w:p>
    <w:p w14:paraId="36292500" w14:textId="77777777" w:rsidR="00B37105" w:rsidRPr="00BE6DD1" w:rsidRDefault="00B37105" w:rsidP="00B37105">
      <w:pPr>
        <w:tabs>
          <w:tab w:val="left" w:pos="2552"/>
        </w:tabs>
        <w:contextualSpacing/>
        <w:jc w:val="center"/>
        <w:rPr>
          <w:rFonts w:ascii="Arial" w:eastAsia="Calibri" w:hAnsi="Arial" w:cs="Arial"/>
          <w:bCs/>
          <w:lang w:val="mn-MN"/>
        </w:rPr>
      </w:pPr>
      <w:r w:rsidRPr="00BE6DD1">
        <w:rPr>
          <w:rFonts w:ascii="Arial" w:eastAsia="Calibri" w:hAnsi="Arial" w:cs="Arial"/>
          <w:b/>
          <w:lang w:val="mn-MN"/>
        </w:rPr>
        <w:t xml:space="preserve">     НЭМЭЛТ,</w:t>
      </w:r>
      <w:r w:rsidRPr="00BE6DD1">
        <w:rPr>
          <w:rFonts w:ascii="Arial" w:eastAsia="Calibri" w:hAnsi="Arial" w:cs="Arial"/>
          <w:bCs/>
          <w:lang w:val="mn-MN"/>
        </w:rPr>
        <w:t xml:space="preserve"> </w:t>
      </w:r>
      <w:r w:rsidRPr="00BE6DD1">
        <w:rPr>
          <w:rFonts w:ascii="Arial" w:eastAsia="Calibri" w:hAnsi="Arial" w:cs="Arial"/>
          <w:b/>
          <w:lang w:val="mn-MN"/>
        </w:rPr>
        <w:t>ӨӨРЧЛӨЛТ ОРУУЛАХ ТУХАЙ</w:t>
      </w:r>
    </w:p>
    <w:p w14:paraId="637D4D3C" w14:textId="77777777" w:rsidR="00B37105" w:rsidRPr="00BE6DD1" w:rsidRDefault="00B37105" w:rsidP="00B37105">
      <w:pPr>
        <w:tabs>
          <w:tab w:val="left" w:pos="2552"/>
        </w:tabs>
        <w:spacing w:line="360" w:lineRule="auto"/>
        <w:contextualSpacing/>
        <w:jc w:val="both"/>
        <w:rPr>
          <w:rFonts w:ascii="Arial" w:eastAsia="Calibri" w:hAnsi="Arial" w:cs="Arial"/>
          <w:bCs/>
          <w:lang w:val="mn-MN"/>
        </w:rPr>
      </w:pPr>
    </w:p>
    <w:p w14:paraId="5908E7A3" w14:textId="77777777" w:rsidR="00B37105" w:rsidRPr="00BE6DD1" w:rsidRDefault="00B37105" w:rsidP="00B37105">
      <w:pPr>
        <w:tabs>
          <w:tab w:val="left" w:pos="2552"/>
        </w:tabs>
        <w:ind w:firstLine="709"/>
        <w:contextualSpacing/>
        <w:jc w:val="both"/>
        <w:rPr>
          <w:rFonts w:ascii="Arial" w:eastAsia="Calibri" w:hAnsi="Arial" w:cs="Arial"/>
          <w:rtl/>
          <w:lang w:val="mn-MN"/>
        </w:rPr>
      </w:pPr>
      <w:r w:rsidRPr="00BE6DD1">
        <w:rPr>
          <w:rFonts w:ascii="Arial" w:eastAsia="Calibri" w:hAnsi="Arial" w:cs="Arial"/>
          <w:b/>
          <w:lang w:val="mn-MN"/>
        </w:rPr>
        <w:t>1 дүгээр зүйл.</w:t>
      </w:r>
      <w:r w:rsidRPr="00BE6DD1">
        <w:rPr>
          <w:rFonts w:ascii="Arial" w:eastAsia="Calibri" w:hAnsi="Arial" w:cs="Arial"/>
          <w:lang w:val="mn-MN"/>
        </w:rPr>
        <w:t>Цөмийн энергийн тухай хуульд доор дурдсан агуулгатай дараах хэсэг, заалт нэмсүгэй:</w:t>
      </w:r>
    </w:p>
    <w:p w14:paraId="45AB472F" w14:textId="77777777" w:rsidR="00B37105" w:rsidRPr="00BE6DD1" w:rsidRDefault="00B37105" w:rsidP="00B37105">
      <w:pPr>
        <w:tabs>
          <w:tab w:val="left" w:pos="2552"/>
        </w:tabs>
        <w:ind w:firstLine="709"/>
        <w:contextualSpacing/>
        <w:jc w:val="both"/>
        <w:rPr>
          <w:rFonts w:ascii="Arial" w:eastAsia="Calibri" w:hAnsi="Arial" w:cs="Arial"/>
          <w:rtl/>
          <w:lang w:val="mn-MN"/>
        </w:rPr>
      </w:pPr>
    </w:p>
    <w:p w14:paraId="56D6B049" w14:textId="77777777" w:rsidR="00B37105" w:rsidRPr="00BE6DD1" w:rsidRDefault="00B37105" w:rsidP="00B37105">
      <w:pPr>
        <w:tabs>
          <w:tab w:val="left" w:pos="0"/>
        </w:tabs>
        <w:ind w:firstLine="709"/>
        <w:contextualSpacing/>
        <w:jc w:val="both"/>
        <w:rPr>
          <w:rFonts w:ascii="Arial" w:eastAsia="Calibri" w:hAnsi="Arial" w:cs="Arial"/>
          <w:lang w:val="mn-MN"/>
        </w:rPr>
      </w:pPr>
      <w:r w:rsidRPr="00BE6DD1">
        <w:rPr>
          <w:rFonts w:ascii="Arial" w:eastAsia="Calibri" w:hAnsi="Arial" w:cs="Arial"/>
          <w:rtl/>
          <w:lang w:val="mn-MN"/>
        </w:rPr>
        <w:tab/>
      </w:r>
      <w:r w:rsidRPr="00BE6DD1">
        <w:rPr>
          <w:rFonts w:ascii="Arial" w:eastAsia="Calibri" w:hAnsi="Arial" w:cs="Arial"/>
          <w:rtl/>
          <w:lang w:val="mn-MN"/>
        </w:rPr>
        <w:tab/>
      </w:r>
      <w:r w:rsidRPr="00BE6DD1">
        <w:rPr>
          <w:rFonts w:ascii="Arial" w:hAnsi="Arial" w:cs="Arial"/>
          <w:b/>
          <w:bCs/>
          <w:lang w:val="mn-MN"/>
        </w:rPr>
        <w:t>1/11 дүгээр зүйлийн 11.1.9 дэх заалт:</w:t>
      </w:r>
    </w:p>
    <w:p w14:paraId="0535D509" w14:textId="77777777" w:rsidR="00B37105" w:rsidRPr="00BE6DD1" w:rsidRDefault="00B37105" w:rsidP="00B37105">
      <w:pPr>
        <w:shd w:val="clear" w:color="auto" w:fill="FFFFFF"/>
        <w:tabs>
          <w:tab w:val="left" w:pos="2552"/>
        </w:tabs>
        <w:contextualSpacing/>
        <w:jc w:val="both"/>
        <w:rPr>
          <w:rFonts w:ascii="Arial" w:hAnsi="Arial" w:cs="Arial"/>
          <w:lang w:val="mn-MN"/>
        </w:rPr>
      </w:pPr>
    </w:p>
    <w:p w14:paraId="7D3A7F0D" w14:textId="77777777" w:rsidR="00B37105" w:rsidRPr="00BE6DD1" w:rsidRDefault="00B37105" w:rsidP="00B37105">
      <w:pPr>
        <w:shd w:val="clear" w:color="auto" w:fill="FFFFFF"/>
        <w:tabs>
          <w:tab w:val="left" w:pos="2552"/>
        </w:tabs>
        <w:ind w:firstLine="1418"/>
        <w:contextualSpacing/>
        <w:jc w:val="both"/>
        <w:rPr>
          <w:rFonts w:ascii="Arial" w:hAnsi="Arial" w:cs="Arial"/>
          <w:lang w:val="mn-MN"/>
        </w:rPr>
      </w:pPr>
      <w:r w:rsidRPr="00BE6DD1">
        <w:rPr>
          <w:rFonts w:ascii="Arial" w:hAnsi="Arial" w:cs="Arial"/>
          <w:lang w:val="mn-MN"/>
        </w:rPr>
        <w:t>“11.1.9.Энэ хуулийн 15.1-д заасан тусгай зөвшөөрлийн өргөдлийн маягтыг батлах.”</w:t>
      </w:r>
    </w:p>
    <w:p w14:paraId="48290C2F" w14:textId="77777777" w:rsidR="00B37105" w:rsidRPr="00BE6DD1" w:rsidRDefault="00B37105" w:rsidP="00B37105">
      <w:pPr>
        <w:shd w:val="clear" w:color="auto" w:fill="FFFFFF"/>
        <w:tabs>
          <w:tab w:val="left" w:pos="2552"/>
        </w:tabs>
        <w:contextualSpacing/>
        <w:jc w:val="both"/>
        <w:rPr>
          <w:rFonts w:ascii="Arial" w:hAnsi="Arial" w:cs="Arial"/>
          <w:lang w:val="mn-MN"/>
        </w:rPr>
      </w:pPr>
    </w:p>
    <w:p w14:paraId="69C547A8" w14:textId="77777777" w:rsidR="00B37105" w:rsidRPr="00BE6DD1" w:rsidRDefault="00B37105" w:rsidP="00B37105">
      <w:pPr>
        <w:shd w:val="clear" w:color="auto" w:fill="FFFFFF"/>
        <w:tabs>
          <w:tab w:val="left" w:pos="0"/>
        </w:tabs>
        <w:contextualSpacing/>
        <w:jc w:val="both"/>
        <w:rPr>
          <w:rFonts w:ascii="Arial" w:hAnsi="Arial" w:cs="Arial"/>
          <w:lang w:val="mn-MN"/>
        </w:rPr>
      </w:pPr>
      <w:r w:rsidRPr="00BE6DD1">
        <w:rPr>
          <w:rFonts w:ascii="Arial" w:hAnsi="Arial" w:cs="Arial"/>
          <w:b/>
          <w:bCs/>
          <w:lang w:val="mn-MN"/>
        </w:rPr>
        <w:tab/>
      </w:r>
      <w:r w:rsidRPr="00BE6DD1">
        <w:rPr>
          <w:rFonts w:ascii="Arial" w:hAnsi="Arial" w:cs="Arial"/>
          <w:b/>
          <w:bCs/>
          <w:lang w:val="mn-MN"/>
        </w:rPr>
        <w:tab/>
        <w:t>2/19 дүгээр зүйлийн 19.2.1, 19.2.2 дахь заалт:</w:t>
      </w:r>
    </w:p>
    <w:p w14:paraId="505AD70A"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p>
    <w:p w14:paraId="47F880C3"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r w:rsidRPr="00BE6DD1">
        <w:rPr>
          <w:rFonts w:ascii="Arial" w:hAnsi="Arial" w:cs="Arial"/>
          <w:lang w:val="mn-MN"/>
        </w:rPr>
        <w:tab/>
      </w:r>
      <w:r w:rsidRPr="00BE6DD1">
        <w:rPr>
          <w:rFonts w:ascii="Arial" w:hAnsi="Arial" w:cs="Arial"/>
          <w:lang w:val="mn-MN"/>
        </w:rPr>
        <w:tab/>
        <w:t>“19.2.1.Энэ хуулийн 15.1.3-т заасан үйл ажиллагаа эрхлэх тусгай зөвшөөрөл хүсэгч нь энэ хуулийн 19.1-д зааснаас гадна дараах баримт бичгийг бүрдүүлнэ:</w:t>
      </w:r>
    </w:p>
    <w:p w14:paraId="2370826C"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p>
    <w:p w14:paraId="2E482AF3"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r w:rsidRPr="00BE6DD1">
        <w:rPr>
          <w:rFonts w:ascii="Arial" w:hAnsi="Arial" w:cs="Arial"/>
          <w:lang w:val="mn-MN"/>
        </w:rPr>
        <w:tab/>
      </w:r>
      <w:r w:rsidRPr="00BE6DD1">
        <w:rPr>
          <w:rFonts w:ascii="Arial" w:hAnsi="Arial" w:cs="Arial"/>
          <w:lang w:val="mn-MN"/>
        </w:rPr>
        <w:tab/>
      </w:r>
      <w:r w:rsidRPr="00BE6DD1">
        <w:rPr>
          <w:rFonts w:ascii="Arial" w:hAnsi="Arial" w:cs="Arial"/>
          <w:lang w:val="mn-MN"/>
        </w:rPr>
        <w:tab/>
        <w:t>19.2.1.а.олборлосон, эсхүл олборлох ураны хүдэр, ураны хүдрийн баяжмал болон бусад дагалдах бүтээгдэхүүний тоо, хэмжээ, агуулгын талаарх мэдээлэл;</w:t>
      </w:r>
    </w:p>
    <w:p w14:paraId="21A46B38"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p>
    <w:p w14:paraId="3BB20D00"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r w:rsidRPr="00BE6DD1">
        <w:rPr>
          <w:rFonts w:ascii="Arial" w:hAnsi="Arial" w:cs="Arial"/>
          <w:lang w:val="mn-MN"/>
        </w:rPr>
        <w:tab/>
      </w:r>
      <w:r w:rsidRPr="00BE6DD1">
        <w:rPr>
          <w:rFonts w:ascii="Arial" w:hAnsi="Arial" w:cs="Arial"/>
          <w:lang w:val="mn-MN"/>
        </w:rPr>
        <w:tab/>
      </w:r>
      <w:r w:rsidRPr="00BE6DD1">
        <w:rPr>
          <w:rFonts w:ascii="Arial" w:hAnsi="Arial" w:cs="Arial"/>
          <w:lang w:val="mn-MN"/>
        </w:rPr>
        <w:tab/>
        <w:t>19.2.1.б.цөмийн бодис дахь элементийн агуулга, тоо хэмжээг тодорхойлсон лабораторийн дүн шинжилгээ;</w:t>
      </w:r>
    </w:p>
    <w:p w14:paraId="38A981AE"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p>
    <w:p w14:paraId="59E0D164"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r w:rsidRPr="00BE6DD1">
        <w:rPr>
          <w:rFonts w:ascii="Arial" w:hAnsi="Arial" w:cs="Arial"/>
          <w:lang w:val="mn-MN"/>
        </w:rPr>
        <w:tab/>
      </w:r>
      <w:r w:rsidRPr="00BE6DD1">
        <w:rPr>
          <w:rFonts w:ascii="Arial" w:hAnsi="Arial" w:cs="Arial"/>
          <w:lang w:val="mn-MN"/>
        </w:rPr>
        <w:tab/>
      </w:r>
      <w:r w:rsidRPr="00BE6DD1">
        <w:rPr>
          <w:rFonts w:ascii="Arial" w:hAnsi="Arial" w:cs="Arial"/>
          <w:lang w:val="mn-MN"/>
        </w:rPr>
        <w:tab/>
        <w:t>19.2.1.в.олборлолт болон боловсруулалтын үйл ажиллагаанаас үүссэн, эсхүл үүсэх хаягдлын талаарх мэдээлэл;</w:t>
      </w:r>
    </w:p>
    <w:p w14:paraId="20CDD9B9"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p>
    <w:p w14:paraId="1426535E"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r w:rsidRPr="00BE6DD1">
        <w:rPr>
          <w:rFonts w:ascii="Arial" w:hAnsi="Arial" w:cs="Arial"/>
          <w:lang w:val="mn-MN"/>
        </w:rPr>
        <w:tab/>
      </w:r>
      <w:r w:rsidRPr="00BE6DD1">
        <w:rPr>
          <w:rFonts w:ascii="Arial" w:hAnsi="Arial" w:cs="Arial"/>
          <w:lang w:val="mn-MN"/>
        </w:rPr>
        <w:tab/>
      </w:r>
      <w:r w:rsidRPr="00BE6DD1">
        <w:rPr>
          <w:rFonts w:ascii="Arial" w:hAnsi="Arial" w:cs="Arial"/>
          <w:lang w:val="mn-MN"/>
        </w:rPr>
        <w:tab/>
        <w:t>19.2.1.г.цөмийн бодис хадгалах байгууламжийн үндсэн мэдээлэл /ерөнхий зохион байгуулалт, газрын зураг, бүдүүвч зураг, байгууламжид нэвтрэх маршрут/, эзэмшигчийн нэр, хяналтын асуудал хариуцсан эрх бүхий албан тушаалтны талаарх мэдээлэл, тухайн байгууламжид гүйцэтгэхээр төлөвлөсөн үйл ажиллагааны төлөвлөгөө;</w:t>
      </w:r>
    </w:p>
    <w:p w14:paraId="1D5909BA"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p>
    <w:p w14:paraId="7BD6F078"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r w:rsidRPr="00BE6DD1">
        <w:rPr>
          <w:rFonts w:ascii="Arial" w:hAnsi="Arial" w:cs="Arial"/>
          <w:lang w:val="mn-MN"/>
        </w:rPr>
        <w:tab/>
      </w:r>
      <w:r w:rsidRPr="00BE6DD1">
        <w:rPr>
          <w:rFonts w:ascii="Arial" w:hAnsi="Arial" w:cs="Arial"/>
          <w:lang w:val="mn-MN"/>
        </w:rPr>
        <w:tab/>
      </w:r>
      <w:r w:rsidRPr="00BE6DD1">
        <w:rPr>
          <w:rFonts w:ascii="Arial" w:hAnsi="Arial" w:cs="Arial"/>
          <w:lang w:val="mn-MN"/>
        </w:rPr>
        <w:tab/>
        <w:t>19.2.1.д.хяналтын хэрэгжилтийг хангах үүрэг бүхий байгууллагын дотоод зохион байгуулалтын бүтэц, эрх бүхий албан тушаалтны нэр болон холбоо барих мэдээлэл, баталгааны асуудал хариуцсан эрх бүхий албан тушаалтан, түүний хүлээх үүрэг хариуцлагын талаарх мэдээлэл, холбогдох дүрэм, журам;</w:t>
      </w:r>
    </w:p>
    <w:p w14:paraId="7FD42BDE"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p>
    <w:p w14:paraId="09A3E2A8"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r w:rsidRPr="00BE6DD1">
        <w:rPr>
          <w:rFonts w:ascii="Arial" w:hAnsi="Arial" w:cs="Arial"/>
          <w:lang w:val="mn-MN"/>
        </w:rPr>
        <w:tab/>
      </w:r>
      <w:r w:rsidRPr="00BE6DD1">
        <w:rPr>
          <w:rFonts w:ascii="Arial" w:hAnsi="Arial" w:cs="Arial"/>
          <w:lang w:val="mn-MN"/>
        </w:rPr>
        <w:tab/>
      </w:r>
      <w:r w:rsidRPr="00BE6DD1">
        <w:rPr>
          <w:rFonts w:ascii="Arial" w:hAnsi="Arial" w:cs="Arial"/>
          <w:lang w:val="mn-MN"/>
        </w:rPr>
        <w:tab/>
        <w:t>19.2.1.е.цөмийн бодис, цөмийн материалын биет хамгаалалтыг хангах талаарх мэдээлэл;</w:t>
      </w:r>
    </w:p>
    <w:p w14:paraId="6F3AF602"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r w:rsidRPr="00BE6DD1">
        <w:rPr>
          <w:rFonts w:ascii="Arial" w:hAnsi="Arial" w:cs="Arial"/>
          <w:lang w:val="mn-MN"/>
        </w:rPr>
        <w:tab/>
      </w:r>
      <w:r w:rsidRPr="00BE6DD1">
        <w:rPr>
          <w:rFonts w:ascii="Arial" w:hAnsi="Arial" w:cs="Arial"/>
          <w:lang w:val="mn-MN"/>
        </w:rPr>
        <w:tab/>
      </w:r>
      <w:r w:rsidRPr="00BE6DD1">
        <w:rPr>
          <w:rFonts w:ascii="Arial" w:hAnsi="Arial" w:cs="Arial"/>
          <w:lang w:val="mn-MN"/>
        </w:rPr>
        <w:tab/>
        <w:t>19.2.1.ё.цөмийн бодис, цөмийн материалын дотоод бүртгэлийн системийн мэдээлэл /мэдээллийн системийн аюулгүйн байдлыг хангах арга хэмжээ, аюулгүй байдлын зааварчилгаа, түүний хуулбар/;</w:t>
      </w:r>
    </w:p>
    <w:p w14:paraId="43FCA6A8"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p>
    <w:p w14:paraId="4E9265A7"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r w:rsidRPr="00BE6DD1">
        <w:rPr>
          <w:rFonts w:ascii="Arial" w:hAnsi="Arial" w:cs="Arial"/>
          <w:lang w:val="mn-MN"/>
        </w:rPr>
        <w:tab/>
      </w:r>
      <w:r w:rsidRPr="00BE6DD1">
        <w:rPr>
          <w:rFonts w:ascii="Arial" w:hAnsi="Arial" w:cs="Arial"/>
          <w:lang w:val="mn-MN"/>
        </w:rPr>
        <w:tab/>
      </w:r>
      <w:r w:rsidRPr="00BE6DD1">
        <w:rPr>
          <w:rFonts w:ascii="Arial" w:hAnsi="Arial" w:cs="Arial"/>
          <w:lang w:val="mn-MN"/>
        </w:rPr>
        <w:tab/>
        <w:t>19.2.1.ж.материалын тэнцлийн талбай байршил болон цөмийн материалын тооллого, урсгалыг хянах хэмжилтийн гол цэг болон стратегийн цэгийн мэдээлэл;</w:t>
      </w:r>
    </w:p>
    <w:p w14:paraId="6152A3B6"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p>
    <w:p w14:paraId="3A5F7A79"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r w:rsidRPr="00BE6DD1">
        <w:rPr>
          <w:rFonts w:ascii="Arial" w:hAnsi="Arial" w:cs="Arial"/>
          <w:lang w:val="mn-MN"/>
        </w:rPr>
        <w:tab/>
      </w:r>
      <w:r w:rsidRPr="00BE6DD1">
        <w:rPr>
          <w:rFonts w:ascii="Arial" w:hAnsi="Arial" w:cs="Arial"/>
          <w:lang w:val="mn-MN"/>
        </w:rPr>
        <w:tab/>
      </w:r>
      <w:r w:rsidRPr="00BE6DD1">
        <w:rPr>
          <w:rFonts w:ascii="Arial" w:hAnsi="Arial" w:cs="Arial"/>
          <w:lang w:val="mn-MN"/>
        </w:rPr>
        <w:tab/>
        <w:t>19.2.1.з.цөмийн бодис, цөмийн материалын тоо хэмжээг тодорхойлох үнэлгээний арга болон тооцоо, хэмжилт хийх үйл ажиллагааны талаарх мэдээлэл;</w:t>
      </w:r>
    </w:p>
    <w:p w14:paraId="7BEA495F"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p>
    <w:p w14:paraId="660DC469"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r w:rsidRPr="00BE6DD1">
        <w:rPr>
          <w:rFonts w:ascii="Arial" w:hAnsi="Arial" w:cs="Arial"/>
          <w:lang w:val="mn-MN"/>
        </w:rPr>
        <w:tab/>
      </w:r>
      <w:r w:rsidRPr="00BE6DD1">
        <w:rPr>
          <w:rFonts w:ascii="Arial" w:hAnsi="Arial" w:cs="Arial"/>
          <w:lang w:val="mn-MN"/>
        </w:rPr>
        <w:tab/>
      </w:r>
      <w:r w:rsidRPr="00BE6DD1">
        <w:rPr>
          <w:rFonts w:ascii="Arial" w:hAnsi="Arial" w:cs="Arial"/>
          <w:lang w:val="mn-MN"/>
        </w:rPr>
        <w:tab/>
        <w:t>19.2.1.и.бүртгэлтэй холбоотой биет тооллого явуулах үйл ажиллагаа болон давтамжийн талаарх мэдээлэл;</w:t>
      </w:r>
    </w:p>
    <w:p w14:paraId="3934D692"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p>
    <w:p w14:paraId="3B18847E"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r w:rsidRPr="00BE6DD1">
        <w:rPr>
          <w:rFonts w:ascii="Arial" w:hAnsi="Arial" w:cs="Arial"/>
          <w:lang w:val="mn-MN"/>
        </w:rPr>
        <w:tab/>
      </w:r>
      <w:r w:rsidRPr="00BE6DD1">
        <w:rPr>
          <w:rFonts w:ascii="Arial" w:hAnsi="Arial" w:cs="Arial"/>
          <w:lang w:val="mn-MN"/>
        </w:rPr>
        <w:tab/>
      </w:r>
      <w:r w:rsidRPr="00BE6DD1">
        <w:rPr>
          <w:rFonts w:ascii="Arial" w:hAnsi="Arial" w:cs="Arial"/>
          <w:lang w:val="mn-MN"/>
        </w:rPr>
        <w:tab/>
        <w:t>19.2.1.й.цөмийн материалын багцыг тодорхойлох техникийн үзүүлэлт;</w:t>
      </w:r>
    </w:p>
    <w:p w14:paraId="369FAD5E"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p>
    <w:p w14:paraId="26CAAF97"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r w:rsidRPr="00BE6DD1">
        <w:rPr>
          <w:rFonts w:ascii="Arial" w:hAnsi="Arial" w:cs="Arial"/>
          <w:lang w:val="mn-MN"/>
        </w:rPr>
        <w:tab/>
      </w:r>
      <w:r w:rsidRPr="00BE6DD1">
        <w:rPr>
          <w:rFonts w:ascii="Arial" w:hAnsi="Arial" w:cs="Arial"/>
          <w:lang w:val="mn-MN"/>
        </w:rPr>
        <w:tab/>
      </w:r>
      <w:r w:rsidRPr="00BE6DD1">
        <w:rPr>
          <w:rFonts w:ascii="Arial" w:hAnsi="Arial" w:cs="Arial"/>
          <w:lang w:val="mn-MN"/>
        </w:rPr>
        <w:tab/>
        <w:t>19.2.1.к.цөмийн материалын урсгалын хяналтыг хэрэгжүүлэхэд ашиглах хязгаарлалтын болон ажиглалтын системийн талаарх мэдээлэл;</w:t>
      </w:r>
    </w:p>
    <w:p w14:paraId="48BEEF6C"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p>
    <w:p w14:paraId="5FF3EB95" w14:textId="77777777" w:rsidR="00B37105" w:rsidRPr="00BE6DD1" w:rsidRDefault="00B37105" w:rsidP="00B37105">
      <w:pPr>
        <w:shd w:val="clear" w:color="auto" w:fill="FFFFFF"/>
        <w:tabs>
          <w:tab w:val="left" w:pos="0"/>
        </w:tabs>
        <w:ind w:firstLine="709"/>
        <w:contextualSpacing/>
        <w:jc w:val="both"/>
        <w:rPr>
          <w:rFonts w:ascii="Arial" w:hAnsi="Arial" w:cs="Arial"/>
          <w:lang w:val="mn-MN"/>
        </w:rPr>
      </w:pPr>
      <w:r w:rsidRPr="00BE6DD1">
        <w:rPr>
          <w:rFonts w:ascii="Arial" w:hAnsi="Arial" w:cs="Arial"/>
          <w:lang w:val="mn-MN"/>
        </w:rPr>
        <w:tab/>
      </w:r>
      <w:r w:rsidRPr="00BE6DD1">
        <w:rPr>
          <w:rFonts w:ascii="Arial" w:hAnsi="Arial" w:cs="Arial"/>
          <w:lang w:val="mn-MN"/>
        </w:rPr>
        <w:tab/>
      </w:r>
      <w:r w:rsidRPr="00BE6DD1">
        <w:rPr>
          <w:rFonts w:ascii="Arial" w:hAnsi="Arial" w:cs="Arial"/>
          <w:lang w:val="mn-MN"/>
        </w:rPr>
        <w:tab/>
        <w:t>19.2.1.л.баталгаатай холбоотойгоор байгууламжид дотоодын болон олон улсын байцаагч нэвтрүүлэх журам.”</w:t>
      </w:r>
    </w:p>
    <w:p w14:paraId="2BA19BCE" w14:textId="77777777" w:rsidR="00B37105" w:rsidRPr="00BE6DD1" w:rsidRDefault="00B37105" w:rsidP="00B37105">
      <w:pPr>
        <w:shd w:val="clear" w:color="auto" w:fill="FFFFFF"/>
        <w:tabs>
          <w:tab w:val="left" w:pos="2552"/>
        </w:tabs>
        <w:contextualSpacing/>
        <w:jc w:val="both"/>
        <w:rPr>
          <w:rFonts w:ascii="Arial" w:hAnsi="Arial" w:cs="Arial"/>
          <w:lang w:val="mn-MN"/>
        </w:rPr>
      </w:pPr>
    </w:p>
    <w:p w14:paraId="71E2FE28" w14:textId="77777777" w:rsidR="00B37105" w:rsidRPr="00BE6DD1" w:rsidRDefault="00B37105" w:rsidP="00B37105">
      <w:pPr>
        <w:shd w:val="clear" w:color="auto" w:fill="FFFFFF"/>
        <w:tabs>
          <w:tab w:val="left" w:pos="2552"/>
        </w:tabs>
        <w:ind w:firstLine="709"/>
        <w:contextualSpacing/>
        <w:jc w:val="both"/>
        <w:rPr>
          <w:rFonts w:ascii="Arial" w:hAnsi="Arial" w:cs="Arial"/>
          <w:lang w:val="mn-MN"/>
        </w:rPr>
      </w:pPr>
      <w:r w:rsidRPr="00BE6DD1">
        <w:rPr>
          <w:rFonts w:ascii="Arial" w:hAnsi="Arial" w:cs="Arial"/>
          <w:lang w:val="mn-MN"/>
        </w:rPr>
        <w:t>19.2.2.Энэ хуулийн 15.1.4-т заасан үйл ажиллагаа эрхлэх тусгай зөвшөөрөл хүсэгч энэ хуулийн 19.1-д зааснаас гадна дараах баримт бичгийг бүрдүүлнэ:</w:t>
      </w:r>
    </w:p>
    <w:p w14:paraId="2C3D39F2" w14:textId="77777777" w:rsidR="00B37105" w:rsidRPr="00BE6DD1" w:rsidRDefault="00B37105" w:rsidP="00B37105">
      <w:pPr>
        <w:shd w:val="clear" w:color="auto" w:fill="FFFFFF"/>
        <w:tabs>
          <w:tab w:val="left" w:pos="2552"/>
        </w:tabs>
        <w:ind w:firstLine="709"/>
        <w:contextualSpacing/>
        <w:jc w:val="both"/>
        <w:rPr>
          <w:rFonts w:ascii="Arial" w:hAnsi="Arial" w:cs="Arial"/>
          <w:lang w:val="mn-MN"/>
        </w:rPr>
      </w:pPr>
    </w:p>
    <w:p w14:paraId="43E4C4AB" w14:textId="77777777" w:rsidR="00B37105" w:rsidRPr="00BE6DD1" w:rsidRDefault="00B37105" w:rsidP="00B37105">
      <w:pPr>
        <w:shd w:val="clear" w:color="auto" w:fill="FFFFFF"/>
        <w:tabs>
          <w:tab w:val="left" w:pos="2127"/>
          <w:tab w:val="left" w:pos="2552"/>
        </w:tabs>
        <w:ind w:firstLine="709"/>
        <w:contextualSpacing/>
        <w:jc w:val="both"/>
        <w:rPr>
          <w:rFonts w:ascii="Arial" w:hAnsi="Arial" w:cs="Arial"/>
          <w:lang w:val="mn-MN"/>
        </w:rPr>
      </w:pPr>
      <w:r w:rsidRPr="00BE6DD1">
        <w:rPr>
          <w:rFonts w:ascii="Arial" w:hAnsi="Arial" w:cs="Arial"/>
          <w:lang w:val="mn-MN"/>
        </w:rPr>
        <w:tab/>
        <w:t>19.2.2.а.олборлосон, эсхүл олборлох ураны хүдэр, ураны хүдрийн баяжмал болон бусад дагалдах бүтээгдэхүүний тоо, хэмжээ, агуулгын талаарх мэдээлэл;</w:t>
      </w:r>
    </w:p>
    <w:p w14:paraId="3A59A019" w14:textId="77777777" w:rsidR="00B37105" w:rsidRPr="00BE6DD1" w:rsidRDefault="00B37105" w:rsidP="00B37105">
      <w:pPr>
        <w:shd w:val="clear" w:color="auto" w:fill="FFFFFF"/>
        <w:tabs>
          <w:tab w:val="left" w:pos="2127"/>
          <w:tab w:val="left" w:pos="2552"/>
        </w:tabs>
        <w:ind w:firstLine="709"/>
        <w:contextualSpacing/>
        <w:jc w:val="both"/>
        <w:rPr>
          <w:rFonts w:ascii="Arial" w:hAnsi="Arial" w:cs="Arial"/>
          <w:lang w:val="mn-MN"/>
        </w:rPr>
      </w:pPr>
    </w:p>
    <w:p w14:paraId="1B5FBFF8" w14:textId="77777777" w:rsidR="00B37105" w:rsidRPr="00BE6DD1" w:rsidRDefault="00B37105" w:rsidP="00B37105">
      <w:pPr>
        <w:shd w:val="clear" w:color="auto" w:fill="FFFFFF"/>
        <w:tabs>
          <w:tab w:val="left" w:pos="2127"/>
          <w:tab w:val="left" w:pos="2552"/>
        </w:tabs>
        <w:ind w:firstLine="709"/>
        <w:contextualSpacing/>
        <w:jc w:val="both"/>
        <w:rPr>
          <w:rFonts w:ascii="Arial" w:hAnsi="Arial" w:cs="Arial"/>
          <w:lang w:val="mn-MN"/>
        </w:rPr>
      </w:pPr>
      <w:r w:rsidRPr="00BE6DD1">
        <w:rPr>
          <w:rFonts w:ascii="Arial" w:hAnsi="Arial" w:cs="Arial"/>
          <w:lang w:val="mn-MN"/>
        </w:rPr>
        <w:tab/>
        <w:t>19.2.2.б.цөмийн бодис дахь элементийн агуулга, тоо хэмжээг тодорхойлсон лабораторийн дүн, шинжилгээ;</w:t>
      </w:r>
    </w:p>
    <w:p w14:paraId="43543B40" w14:textId="77777777" w:rsidR="00B37105" w:rsidRPr="00BE6DD1" w:rsidRDefault="00B37105" w:rsidP="00B37105">
      <w:pPr>
        <w:shd w:val="clear" w:color="auto" w:fill="FFFFFF"/>
        <w:tabs>
          <w:tab w:val="left" w:pos="2127"/>
          <w:tab w:val="left" w:pos="2552"/>
        </w:tabs>
        <w:ind w:firstLine="709"/>
        <w:contextualSpacing/>
        <w:jc w:val="both"/>
        <w:rPr>
          <w:rFonts w:ascii="Arial" w:hAnsi="Arial" w:cs="Arial"/>
          <w:lang w:val="mn-MN"/>
        </w:rPr>
      </w:pPr>
    </w:p>
    <w:p w14:paraId="1171DBE5" w14:textId="77777777" w:rsidR="00B37105" w:rsidRPr="00BE6DD1" w:rsidRDefault="00B37105" w:rsidP="00B37105">
      <w:pPr>
        <w:shd w:val="clear" w:color="auto" w:fill="FFFFFF"/>
        <w:tabs>
          <w:tab w:val="left" w:pos="2127"/>
          <w:tab w:val="left" w:pos="2552"/>
        </w:tabs>
        <w:ind w:firstLine="709"/>
        <w:contextualSpacing/>
        <w:jc w:val="both"/>
        <w:rPr>
          <w:rFonts w:ascii="Arial" w:hAnsi="Arial" w:cs="Arial"/>
          <w:lang w:val="mn-MN"/>
        </w:rPr>
      </w:pPr>
      <w:r w:rsidRPr="00BE6DD1">
        <w:rPr>
          <w:rFonts w:ascii="Arial" w:hAnsi="Arial" w:cs="Arial"/>
          <w:lang w:val="mn-MN"/>
        </w:rPr>
        <w:tab/>
        <w:t>19.2.2.в.олборлолт болон боловсруулалтын үйл ажиллагаанаас үүссэн, эсхүл үүсэх хаягдлын талаарх мэдээлэл;</w:t>
      </w:r>
    </w:p>
    <w:p w14:paraId="580DAB45" w14:textId="77777777" w:rsidR="00B37105" w:rsidRPr="00BE6DD1" w:rsidRDefault="00B37105" w:rsidP="00B37105">
      <w:pPr>
        <w:shd w:val="clear" w:color="auto" w:fill="FFFFFF"/>
        <w:tabs>
          <w:tab w:val="left" w:pos="2127"/>
          <w:tab w:val="left" w:pos="2552"/>
        </w:tabs>
        <w:ind w:firstLine="709"/>
        <w:contextualSpacing/>
        <w:jc w:val="both"/>
        <w:rPr>
          <w:rFonts w:ascii="Arial" w:hAnsi="Arial" w:cs="Arial"/>
          <w:lang w:val="mn-MN"/>
        </w:rPr>
      </w:pPr>
    </w:p>
    <w:p w14:paraId="1F70500F" w14:textId="77777777" w:rsidR="00B37105" w:rsidRPr="00BE6DD1" w:rsidRDefault="00B37105" w:rsidP="00B37105">
      <w:pPr>
        <w:shd w:val="clear" w:color="auto" w:fill="FFFFFF"/>
        <w:tabs>
          <w:tab w:val="left" w:pos="2127"/>
          <w:tab w:val="left" w:pos="2552"/>
        </w:tabs>
        <w:ind w:firstLine="709"/>
        <w:contextualSpacing/>
        <w:jc w:val="both"/>
        <w:rPr>
          <w:rFonts w:ascii="Arial" w:hAnsi="Arial" w:cs="Arial"/>
          <w:lang w:val="mn-MN"/>
        </w:rPr>
      </w:pPr>
      <w:r w:rsidRPr="00BE6DD1">
        <w:rPr>
          <w:rFonts w:ascii="Arial" w:hAnsi="Arial" w:cs="Arial"/>
          <w:lang w:val="mn-MN"/>
        </w:rPr>
        <w:tab/>
        <w:t>19.2.2.г.ачуулах цөмийн бодис, цөмийн материалын нийт хэмжээ, түүнд хамаарах материалын агууламжийг изотопоор, химийн найрлагаар, физик хэлбэрээр илэрхийлсэн мэдээлэл;</w:t>
      </w:r>
    </w:p>
    <w:p w14:paraId="32BC08B2" w14:textId="77777777" w:rsidR="00B37105" w:rsidRPr="00BE6DD1" w:rsidRDefault="00B37105" w:rsidP="00B37105">
      <w:pPr>
        <w:shd w:val="clear" w:color="auto" w:fill="FFFFFF"/>
        <w:tabs>
          <w:tab w:val="left" w:pos="2127"/>
          <w:tab w:val="left" w:pos="2552"/>
        </w:tabs>
        <w:ind w:firstLine="709"/>
        <w:contextualSpacing/>
        <w:jc w:val="both"/>
        <w:rPr>
          <w:rFonts w:ascii="Arial" w:hAnsi="Arial" w:cs="Arial"/>
          <w:lang w:val="mn-MN"/>
        </w:rPr>
      </w:pPr>
    </w:p>
    <w:p w14:paraId="72A665CF" w14:textId="77777777" w:rsidR="00B37105" w:rsidRPr="00BE6DD1" w:rsidRDefault="00B37105" w:rsidP="00B37105">
      <w:pPr>
        <w:shd w:val="clear" w:color="auto" w:fill="FFFFFF"/>
        <w:tabs>
          <w:tab w:val="left" w:pos="2127"/>
          <w:tab w:val="left" w:pos="2552"/>
        </w:tabs>
        <w:ind w:firstLine="709"/>
        <w:contextualSpacing/>
        <w:jc w:val="both"/>
        <w:rPr>
          <w:rFonts w:ascii="Arial" w:hAnsi="Arial" w:cs="Arial"/>
          <w:lang w:val="mn-MN"/>
        </w:rPr>
      </w:pPr>
      <w:r w:rsidRPr="00BE6DD1">
        <w:rPr>
          <w:rFonts w:ascii="Arial" w:hAnsi="Arial" w:cs="Arial"/>
          <w:lang w:val="mn-MN"/>
        </w:rPr>
        <w:tab/>
        <w:t>19.2.2.д.тээвэрлэлтийн чингэлгийн төрөл /экспортлох тохиолдолд битүүмжлэх боломжийн техникийн мэдээлэл/;</w:t>
      </w:r>
    </w:p>
    <w:p w14:paraId="749CAB89" w14:textId="77777777" w:rsidR="00B37105" w:rsidRPr="00BE6DD1" w:rsidRDefault="00B37105" w:rsidP="00B37105">
      <w:pPr>
        <w:shd w:val="clear" w:color="auto" w:fill="FFFFFF"/>
        <w:tabs>
          <w:tab w:val="left" w:pos="2127"/>
          <w:tab w:val="left" w:pos="2552"/>
        </w:tabs>
        <w:ind w:firstLine="709"/>
        <w:contextualSpacing/>
        <w:jc w:val="both"/>
        <w:rPr>
          <w:rFonts w:ascii="Arial" w:hAnsi="Arial" w:cs="Arial"/>
          <w:lang w:val="mn-MN"/>
        </w:rPr>
      </w:pPr>
    </w:p>
    <w:p w14:paraId="396D91FE" w14:textId="77777777" w:rsidR="00B37105" w:rsidRPr="00BE6DD1" w:rsidRDefault="00B37105" w:rsidP="00B37105">
      <w:pPr>
        <w:shd w:val="clear" w:color="auto" w:fill="FFFFFF"/>
        <w:tabs>
          <w:tab w:val="left" w:pos="2127"/>
          <w:tab w:val="left" w:pos="2552"/>
        </w:tabs>
        <w:ind w:firstLine="709"/>
        <w:contextualSpacing/>
        <w:jc w:val="both"/>
        <w:rPr>
          <w:rFonts w:ascii="Arial" w:hAnsi="Arial" w:cs="Arial"/>
          <w:lang w:val="mn-MN"/>
        </w:rPr>
      </w:pPr>
      <w:r w:rsidRPr="00BE6DD1">
        <w:rPr>
          <w:rFonts w:ascii="Arial" w:hAnsi="Arial" w:cs="Arial"/>
          <w:lang w:val="mn-MN"/>
        </w:rPr>
        <w:tab/>
        <w:t>19.2.2.е.экспортлох тохиолдолд хүрэх газар, улс, импортлох тохиолдолд материалын сав баглааг задлах материалын тэнцлийн хэсэг болон байршлын талаарх мэдээлэл;</w:t>
      </w:r>
    </w:p>
    <w:p w14:paraId="3B86946A" w14:textId="77777777" w:rsidR="00B37105" w:rsidRPr="00BE6DD1" w:rsidRDefault="00B37105" w:rsidP="00B37105">
      <w:pPr>
        <w:shd w:val="clear" w:color="auto" w:fill="FFFFFF"/>
        <w:tabs>
          <w:tab w:val="left" w:pos="2127"/>
          <w:tab w:val="left" w:pos="2552"/>
        </w:tabs>
        <w:ind w:firstLine="709"/>
        <w:contextualSpacing/>
        <w:jc w:val="both"/>
        <w:rPr>
          <w:rFonts w:ascii="Arial" w:hAnsi="Arial" w:cs="Arial"/>
          <w:lang w:val="mn-MN"/>
        </w:rPr>
      </w:pPr>
    </w:p>
    <w:p w14:paraId="34F889DD" w14:textId="77777777" w:rsidR="00B37105" w:rsidRPr="00BE6DD1" w:rsidRDefault="00B37105" w:rsidP="00B37105">
      <w:pPr>
        <w:shd w:val="clear" w:color="auto" w:fill="FFFFFF"/>
        <w:tabs>
          <w:tab w:val="left" w:pos="2127"/>
          <w:tab w:val="left" w:pos="2552"/>
        </w:tabs>
        <w:ind w:firstLine="709"/>
        <w:contextualSpacing/>
        <w:jc w:val="both"/>
        <w:rPr>
          <w:rFonts w:ascii="Arial" w:hAnsi="Arial" w:cs="Arial"/>
          <w:lang w:val="mn-MN"/>
        </w:rPr>
      </w:pPr>
      <w:r w:rsidRPr="00BE6DD1">
        <w:rPr>
          <w:rFonts w:ascii="Arial" w:hAnsi="Arial" w:cs="Arial"/>
          <w:lang w:val="mn-MN"/>
        </w:rPr>
        <w:tab/>
        <w:t>19.2.2.ё.тээвэрлэлтийн төрөл, маршрутын талаарх мэдээлэл;</w:t>
      </w:r>
    </w:p>
    <w:p w14:paraId="3DCDB794" w14:textId="77777777" w:rsidR="00B37105" w:rsidRPr="00BE6DD1" w:rsidRDefault="00B37105" w:rsidP="00B37105">
      <w:pPr>
        <w:shd w:val="clear" w:color="auto" w:fill="FFFFFF"/>
        <w:tabs>
          <w:tab w:val="left" w:pos="2127"/>
          <w:tab w:val="left" w:pos="2552"/>
        </w:tabs>
        <w:ind w:firstLine="709"/>
        <w:contextualSpacing/>
        <w:jc w:val="both"/>
        <w:rPr>
          <w:rFonts w:ascii="Arial" w:hAnsi="Arial" w:cs="Arial"/>
          <w:lang w:val="mn-MN"/>
        </w:rPr>
      </w:pPr>
      <w:r w:rsidRPr="00BE6DD1">
        <w:rPr>
          <w:rFonts w:ascii="Arial" w:hAnsi="Arial" w:cs="Arial"/>
          <w:lang w:val="mn-MN"/>
        </w:rPr>
        <w:tab/>
        <w:t>19.2.2.ж.экспортлох тохиолдолд ачааг бэлтгэх газрын талаарх мэдээлэл;</w:t>
      </w:r>
    </w:p>
    <w:p w14:paraId="18088FDF" w14:textId="77777777" w:rsidR="00B37105" w:rsidRPr="00BE6DD1" w:rsidRDefault="00B37105" w:rsidP="00B37105">
      <w:pPr>
        <w:shd w:val="clear" w:color="auto" w:fill="FFFFFF"/>
        <w:tabs>
          <w:tab w:val="left" w:pos="2127"/>
          <w:tab w:val="left" w:pos="2552"/>
        </w:tabs>
        <w:ind w:firstLine="709"/>
        <w:contextualSpacing/>
        <w:jc w:val="both"/>
        <w:rPr>
          <w:rFonts w:ascii="Arial" w:hAnsi="Arial" w:cs="Arial"/>
          <w:lang w:val="mn-MN"/>
        </w:rPr>
      </w:pPr>
    </w:p>
    <w:p w14:paraId="1B840F18" w14:textId="77777777" w:rsidR="00B37105" w:rsidRPr="00BE6DD1" w:rsidRDefault="00B37105" w:rsidP="00B37105">
      <w:pPr>
        <w:shd w:val="clear" w:color="auto" w:fill="FFFFFF"/>
        <w:tabs>
          <w:tab w:val="left" w:pos="2127"/>
          <w:tab w:val="left" w:pos="2552"/>
        </w:tabs>
        <w:ind w:firstLine="709"/>
        <w:contextualSpacing/>
        <w:jc w:val="both"/>
        <w:rPr>
          <w:rFonts w:ascii="Arial" w:hAnsi="Arial" w:cs="Arial"/>
          <w:lang w:val="mn-MN"/>
        </w:rPr>
      </w:pPr>
      <w:r w:rsidRPr="00BE6DD1">
        <w:rPr>
          <w:rFonts w:ascii="Arial" w:hAnsi="Arial" w:cs="Arial"/>
          <w:lang w:val="mn-MN"/>
        </w:rPr>
        <w:tab/>
        <w:t>19.2.2.з.тээвэрлэлтийн бүртгэлийн системийн талаарх мэдээлэл /экспортлох тохиолдолд цөмийн бодисыг тодорхойлох, тоо хэмжээ болон найрлагыг шалгах, импортлох тохиолдолд цөмийн бодис агуулсан ачааг буулгаж, задлан түүний хэмжээ болон найрлагыг магадлан шалгах үйл ажиллагаа/.”</w:t>
      </w:r>
    </w:p>
    <w:p w14:paraId="3443BE39" w14:textId="77777777" w:rsidR="00B37105" w:rsidRPr="00BE6DD1" w:rsidRDefault="00B37105" w:rsidP="00B37105">
      <w:pPr>
        <w:shd w:val="clear" w:color="auto" w:fill="FFFFFF"/>
        <w:tabs>
          <w:tab w:val="left" w:pos="2552"/>
        </w:tabs>
        <w:ind w:firstLine="1134"/>
        <w:contextualSpacing/>
        <w:jc w:val="both"/>
        <w:rPr>
          <w:rFonts w:ascii="Arial" w:hAnsi="Arial" w:cs="Arial"/>
          <w:lang w:val="mn-MN"/>
        </w:rPr>
      </w:pPr>
    </w:p>
    <w:p w14:paraId="25E55485" w14:textId="77777777" w:rsidR="00B37105" w:rsidRPr="00BE6DD1" w:rsidRDefault="00B37105" w:rsidP="00B37105">
      <w:pPr>
        <w:shd w:val="clear" w:color="auto" w:fill="FFFFFF"/>
        <w:tabs>
          <w:tab w:val="left" w:pos="0"/>
        </w:tabs>
        <w:contextualSpacing/>
        <w:jc w:val="both"/>
        <w:rPr>
          <w:rFonts w:ascii="Arial" w:hAnsi="Arial" w:cs="Arial"/>
          <w:bCs/>
          <w:shd w:val="clear" w:color="auto" w:fill="FFFFFF"/>
          <w:lang w:val="mn-MN"/>
        </w:rPr>
      </w:pPr>
      <w:r w:rsidRPr="00BE6DD1">
        <w:rPr>
          <w:rFonts w:ascii="Arial" w:hAnsi="Arial" w:cs="Arial"/>
          <w:b/>
          <w:bCs/>
          <w:shd w:val="clear" w:color="auto" w:fill="FFFFFF"/>
          <w:lang w:val="mn-MN"/>
        </w:rPr>
        <w:tab/>
      </w:r>
      <w:r w:rsidRPr="00BE6DD1">
        <w:rPr>
          <w:rFonts w:ascii="Arial" w:hAnsi="Arial" w:cs="Arial"/>
          <w:b/>
          <w:bCs/>
          <w:shd w:val="clear" w:color="auto" w:fill="FFFFFF"/>
          <w:lang w:val="mn-MN"/>
        </w:rPr>
        <w:tab/>
        <w:t xml:space="preserve">3/19 дүгээр зүйлийн </w:t>
      </w:r>
      <w:r w:rsidRPr="00BE6DD1">
        <w:rPr>
          <w:rFonts w:ascii="Arial" w:hAnsi="Arial" w:cs="Arial"/>
          <w:b/>
          <w:shd w:val="clear" w:color="auto" w:fill="FFFFFF"/>
          <w:lang w:val="mn-MN"/>
        </w:rPr>
        <w:t>19.5.3 дахь заалт:</w:t>
      </w:r>
    </w:p>
    <w:p w14:paraId="69E8348D" w14:textId="77777777" w:rsidR="00B37105" w:rsidRPr="00BE6DD1" w:rsidRDefault="00B37105" w:rsidP="00B37105">
      <w:pPr>
        <w:shd w:val="clear" w:color="auto" w:fill="FFFFFF"/>
        <w:tabs>
          <w:tab w:val="left" w:pos="0"/>
        </w:tabs>
        <w:contextualSpacing/>
        <w:jc w:val="both"/>
        <w:rPr>
          <w:rFonts w:ascii="Arial" w:hAnsi="Arial" w:cs="Arial"/>
          <w:bCs/>
          <w:shd w:val="clear" w:color="auto" w:fill="FFFFFF"/>
          <w:lang w:val="mn-MN"/>
        </w:rPr>
      </w:pPr>
    </w:p>
    <w:p w14:paraId="0C34F4F2" w14:textId="77777777" w:rsidR="00B37105" w:rsidRPr="00BE6DD1" w:rsidRDefault="00B37105" w:rsidP="00B37105">
      <w:pPr>
        <w:shd w:val="clear" w:color="auto" w:fill="FFFFFF"/>
        <w:tabs>
          <w:tab w:val="left" w:pos="0"/>
        </w:tabs>
        <w:contextualSpacing/>
        <w:jc w:val="both"/>
        <w:rPr>
          <w:rFonts w:ascii="Arial" w:hAnsi="Arial" w:cs="Arial"/>
          <w:bCs/>
          <w:shd w:val="clear" w:color="auto" w:fill="FFFFFF"/>
          <w:lang w:val="mn-MN"/>
        </w:rPr>
      </w:pPr>
      <w:r w:rsidRPr="00BE6DD1">
        <w:rPr>
          <w:rFonts w:ascii="Arial" w:hAnsi="Arial" w:cs="Arial"/>
          <w:bCs/>
          <w:shd w:val="clear" w:color="auto" w:fill="FFFFFF"/>
          <w:lang w:val="mn-MN"/>
        </w:rPr>
        <w:tab/>
      </w:r>
      <w:r w:rsidRPr="00BE6DD1">
        <w:rPr>
          <w:rFonts w:ascii="Arial" w:hAnsi="Arial" w:cs="Arial"/>
          <w:bCs/>
          <w:shd w:val="clear" w:color="auto" w:fill="FFFFFF"/>
          <w:lang w:val="mn-MN"/>
        </w:rPr>
        <w:tab/>
      </w:r>
      <w:r w:rsidRPr="00BE6DD1">
        <w:rPr>
          <w:rFonts w:ascii="Arial" w:hAnsi="Arial" w:cs="Arial"/>
          <w:shd w:val="clear" w:color="auto" w:fill="FFFFFF"/>
          <w:lang w:val="mn-MN"/>
        </w:rPr>
        <w:t>“</w:t>
      </w:r>
      <w:r w:rsidRPr="00BE6DD1">
        <w:rPr>
          <w:rFonts w:ascii="Arial" w:hAnsi="Arial" w:cs="Arial"/>
          <w:lang w:val="mn-MN"/>
        </w:rPr>
        <w:t>19.5.3.шаардлагатай бол худалдах, худалдан авах гэрээний хуулбар.”</w:t>
      </w:r>
    </w:p>
    <w:p w14:paraId="66A594B8" w14:textId="77777777" w:rsidR="00B37105" w:rsidRPr="00BE6DD1" w:rsidRDefault="00B37105" w:rsidP="00B37105">
      <w:pPr>
        <w:tabs>
          <w:tab w:val="left" w:pos="851"/>
          <w:tab w:val="left" w:pos="2552"/>
        </w:tabs>
        <w:contextualSpacing/>
        <w:jc w:val="both"/>
        <w:rPr>
          <w:rFonts w:ascii="Arial" w:eastAsia="Calibri" w:hAnsi="Arial" w:cs="Arial"/>
          <w:bCs/>
          <w:lang w:val="mn-MN"/>
        </w:rPr>
      </w:pPr>
    </w:p>
    <w:p w14:paraId="79474882" w14:textId="77777777" w:rsidR="00B37105" w:rsidRPr="00BE6DD1" w:rsidRDefault="00B37105" w:rsidP="00B37105">
      <w:pPr>
        <w:tabs>
          <w:tab w:val="left" w:pos="0"/>
        </w:tabs>
        <w:contextualSpacing/>
        <w:jc w:val="both"/>
        <w:rPr>
          <w:rFonts w:ascii="Arial" w:hAnsi="Arial" w:cs="Arial"/>
          <w:bCs/>
          <w:lang w:val="mn-MN"/>
        </w:rPr>
      </w:pPr>
      <w:r w:rsidRPr="00BE6DD1">
        <w:rPr>
          <w:rFonts w:ascii="Arial" w:hAnsi="Arial" w:cs="Arial"/>
          <w:b/>
          <w:shd w:val="clear" w:color="auto" w:fill="FFFFFF"/>
          <w:lang w:val="mn-MN"/>
        </w:rPr>
        <w:tab/>
      </w:r>
      <w:r w:rsidRPr="00BE6DD1">
        <w:rPr>
          <w:rFonts w:ascii="Arial" w:hAnsi="Arial" w:cs="Arial"/>
          <w:b/>
          <w:shd w:val="clear" w:color="auto" w:fill="FFFFFF"/>
          <w:lang w:val="mn-MN"/>
        </w:rPr>
        <w:tab/>
        <w:t>4/</w:t>
      </w:r>
      <w:r w:rsidRPr="00BE6DD1">
        <w:rPr>
          <w:rFonts w:ascii="Arial" w:hAnsi="Arial" w:cs="Arial"/>
          <w:b/>
          <w:bCs/>
          <w:lang w:val="mn-MN"/>
        </w:rPr>
        <w:t xml:space="preserve">25 дугаар зүйлийн </w:t>
      </w:r>
      <w:r w:rsidRPr="00BE6DD1">
        <w:rPr>
          <w:rFonts w:ascii="Arial" w:hAnsi="Arial" w:cs="Arial"/>
          <w:b/>
          <w:shd w:val="clear" w:color="auto" w:fill="FFFFFF"/>
          <w:lang w:val="mn-MN"/>
        </w:rPr>
        <w:t xml:space="preserve">25.3 </w:t>
      </w:r>
      <w:r w:rsidRPr="00BE6DD1">
        <w:rPr>
          <w:rFonts w:ascii="Arial" w:hAnsi="Arial" w:cs="Arial"/>
          <w:b/>
          <w:lang w:val="mn-MN"/>
        </w:rPr>
        <w:t>дахь хэсэг:</w:t>
      </w:r>
    </w:p>
    <w:p w14:paraId="3EB5921F" w14:textId="77777777" w:rsidR="00B37105" w:rsidRPr="00BE6DD1" w:rsidRDefault="00B37105" w:rsidP="00B37105">
      <w:pPr>
        <w:tabs>
          <w:tab w:val="left" w:pos="851"/>
          <w:tab w:val="left" w:pos="2552"/>
        </w:tabs>
        <w:contextualSpacing/>
        <w:jc w:val="both"/>
        <w:rPr>
          <w:rFonts w:ascii="Arial" w:hAnsi="Arial" w:cs="Arial"/>
          <w:shd w:val="clear" w:color="auto" w:fill="FFFFFF"/>
          <w:lang w:val="mn-MN"/>
        </w:rPr>
      </w:pPr>
    </w:p>
    <w:p w14:paraId="56B38282" w14:textId="77777777" w:rsidR="00B37105" w:rsidRPr="00BE6DD1" w:rsidRDefault="00B37105" w:rsidP="00B37105">
      <w:pPr>
        <w:tabs>
          <w:tab w:val="left" w:pos="2552"/>
        </w:tabs>
        <w:ind w:firstLine="709"/>
        <w:contextualSpacing/>
        <w:jc w:val="both"/>
        <w:rPr>
          <w:rFonts w:ascii="Arial" w:hAnsi="Arial" w:cs="Arial"/>
          <w:bCs/>
          <w:shd w:val="clear" w:color="auto" w:fill="FFFFFF"/>
          <w:lang w:val="mn-MN"/>
        </w:rPr>
      </w:pPr>
      <w:r w:rsidRPr="00BE6DD1">
        <w:rPr>
          <w:rFonts w:ascii="Arial" w:hAnsi="Arial" w:cs="Arial"/>
          <w:shd w:val="clear" w:color="auto" w:fill="FFFFFF"/>
          <w:lang w:val="mn-MN"/>
        </w:rPr>
        <w:t>“25.3.Энэ хуулийн 15 дугаар зүйлд заасан үйл ажиллагаа эрхлэх тусгай зөвшөөрлийг олгох, сунгах, түдгэлзүүлэх, сэргээх, хүчингүй болгохтой холбоотой гомдлыг Зөвшөөрлийн тухай хуулийн 9.4 дүгээр зүйлийн 1-д заасан журмын дагуу гаргана.”</w:t>
      </w:r>
    </w:p>
    <w:p w14:paraId="3FA28780" w14:textId="77777777" w:rsidR="00B37105" w:rsidRPr="00BE6DD1" w:rsidRDefault="00B37105" w:rsidP="00B37105">
      <w:pPr>
        <w:tabs>
          <w:tab w:val="left" w:pos="2552"/>
        </w:tabs>
        <w:contextualSpacing/>
        <w:jc w:val="both"/>
        <w:rPr>
          <w:rFonts w:ascii="Arial" w:hAnsi="Arial" w:cs="Arial"/>
          <w:bCs/>
          <w:shd w:val="clear" w:color="auto" w:fill="FFFFFF"/>
          <w:lang w:val="mn-MN"/>
        </w:rPr>
      </w:pPr>
    </w:p>
    <w:p w14:paraId="5934FDE9" w14:textId="77777777" w:rsidR="00B37105" w:rsidRPr="00BE6DD1" w:rsidRDefault="00B37105" w:rsidP="00B37105">
      <w:pPr>
        <w:ind w:left="720" w:firstLine="720"/>
        <w:contextualSpacing/>
        <w:jc w:val="both"/>
        <w:rPr>
          <w:rFonts w:ascii="Arial" w:hAnsi="Arial" w:cs="Arial"/>
          <w:shd w:val="clear" w:color="auto" w:fill="FFFFFF"/>
          <w:lang w:val="mn-MN"/>
        </w:rPr>
      </w:pPr>
      <w:r w:rsidRPr="00BE6DD1">
        <w:rPr>
          <w:rFonts w:ascii="Arial" w:hAnsi="Arial" w:cs="Arial"/>
          <w:b/>
          <w:bCs/>
          <w:shd w:val="clear" w:color="auto" w:fill="FFFFFF"/>
          <w:lang w:val="mn-MN"/>
        </w:rPr>
        <w:t>5/36 дугаар зүйлийн 36.3 дахь хэсэг:</w:t>
      </w:r>
    </w:p>
    <w:p w14:paraId="60FDA743" w14:textId="77777777" w:rsidR="00B37105" w:rsidRPr="00BE6DD1" w:rsidRDefault="00B37105" w:rsidP="00B37105">
      <w:pPr>
        <w:tabs>
          <w:tab w:val="left" w:pos="2552"/>
        </w:tabs>
        <w:contextualSpacing/>
        <w:jc w:val="both"/>
        <w:rPr>
          <w:rFonts w:ascii="Arial" w:hAnsi="Arial" w:cs="Arial"/>
          <w:bCs/>
          <w:shd w:val="clear" w:color="auto" w:fill="FFFFFF"/>
          <w:lang w:val="mn-MN"/>
        </w:rPr>
      </w:pPr>
    </w:p>
    <w:p w14:paraId="7E06AA73" w14:textId="77777777" w:rsidR="00B37105" w:rsidRPr="00BE6DD1" w:rsidRDefault="00B37105" w:rsidP="00B37105">
      <w:pPr>
        <w:tabs>
          <w:tab w:val="left" w:pos="2552"/>
        </w:tabs>
        <w:ind w:firstLine="709"/>
        <w:contextualSpacing/>
        <w:jc w:val="both"/>
        <w:rPr>
          <w:rFonts w:ascii="Arial" w:hAnsi="Arial" w:cs="Arial"/>
          <w:bCs/>
          <w:shd w:val="clear" w:color="auto" w:fill="FFFFFF"/>
          <w:lang w:val="mn-MN"/>
        </w:rPr>
      </w:pPr>
      <w:r w:rsidRPr="00BE6DD1">
        <w:rPr>
          <w:rFonts w:ascii="Arial" w:hAnsi="Arial" w:cs="Arial"/>
          <w:shd w:val="clear" w:color="auto" w:fill="FFFFFF"/>
          <w:lang w:val="mn-MN"/>
        </w:rPr>
        <w:t>“36.3.Цацрагийн үүсгүүр, цацрагийн үүсгүүртэй багаж хэрэгсэл, тоног төхөөрөмжийг энэ хуулийн 15.3-т заасан үйл ажиллагаа эрхлэх тусгай зөвшөөрөлтэй хуулийн этгээдээс бусад этгээд ашиглахыг хориглоно.”</w:t>
      </w:r>
    </w:p>
    <w:p w14:paraId="60C5FA4E" w14:textId="77777777" w:rsidR="00B37105" w:rsidRPr="00BE6DD1" w:rsidRDefault="00B37105" w:rsidP="00B37105">
      <w:pPr>
        <w:tabs>
          <w:tab w:val="left" w:pos="2552"/>
        </w:tabs>
        <w:contextualSpacing/>
        <w:jc w:val="both"/>
        <w:rPr>
          <w:rFonts w:ascii="Arial" w:hAnsi="Arial" w:cs="Arial"/>
          <w:bCs/>
          <w:shd w:val="clear" w:color="auto" w:fill="FFFFFF"/>
          <w:lang w:val="mn-MN"/>
        </w:rPr>
      </w:pPr>
    </w:p>
    <w:p w14:paraId="26207E58" w14:textId="77777777" w:rsidR="00B37105" w:rsidRPr="00BE6DD1" w:rsidRDefault="00B37105" w:rsidP="00B37105">
      <w:pPr>
        <w:tabs>
          <w:tab w:val="left" w:pos="2552"/>
        </w:tabs>
        <w:ind w:firstLine="709"/>
        <w:contextualSpacing/>
        <w:jc w:val="both"/>
        <w:rPr>
          <w:rFonts w:ascii="Arial" w:hAnsi="Arial" w:cs="Arial"/>
          <w:bCs/>
          <w:shd w:val="clear" w:color="auto" w:fill="FFFFFF"/>
          <w:lang w:val="mn-MN"/>
        </w:rPr>
      </w:pPr>
      <w:r w:rsidRPr="00BE6DD1">
        <w:rPr>
          <w:rFonts w:ascii="Arial" w:eastAsia="Calibri" w:hAnsi="Arial" w:cs="Arial"/>
          <w:b/>
          <w:lang w:val="mn-MN"/>
        </w:rPr>
        <w:t>2 дугаар зүйл.</w:t>
      </w:r>
      <w:r w:rsidRPr="00BE6DD1">
        <w:rPr>
          <w:rFonts w:ascii="Arial" w:eastAsia="Calibri" w:hAnsi="Arial" w:cs="Arial"/>
          <w:lang w:val="mn-MN"/>
        </w:rPr>
        <w:t>Цөмийн энергийн тухай хуулийн дараах хэсэг, заалтыг доор дурдсанаар өөрчлөн найруулсугай:</w:t>
      </w:r>
    </w:p>
    <w:p w14:paraId="479BC10C" w14:textId="77777777" w:rsidR="00B37105" w:rsidRPr="00BE6DD1" w:rsidRDefault="00B37105" w:rsidP="00B37105">
      <w:pPr>
        <w:tabs>
          <w:tab w:val="left" w:pos="2552"/>
        </w:tabs>
        <w:contextualSpacing/>
        <w:jc w:val="both"/>
        <w:rPr>
          <w:rFonts w:ascii="Arial" w:hAnsi="Arial" w:cs="Arial"/>
          <w:shd w:val="clear" w:color="auto" w:fill="FFFFFF"/>
          <w:lang w:val="mn-MN"/>
        </w:rPr>
      </w:pPr>
    </w:p>
    <w:p w14:paraId="3D49C359" w14:textId="77777777" w:rsidR="00B37105" w:rsidRPr="00BE6DD1" w:rsidRDefault="00B37105" w:rsidP="00B37105">
      <w:pPr>
        <w:ind w:left="720" w:firstLine="720"/>
        <w:contextualSpacing/>
        <w:jc w:val="both"/>
        <w:rPr>
          <w:rFonts w:ascii="Arial" w:hAnsi="Arial" w:cs="Arial"/>
          <w:bCs/>
          <w:lang w:val="mn-MN"/>
        </w:rPr>
      </w:pPr>
      <w:r w:rsidRPr="00BE6DD1">
        <w:rPr>
          <w:rFonts w:ascii="Arial" w:hAnsi="Arial" w:cs="Arial"/>
          <w:b/>
          <w:lang w:val="mn-MN"/>
        </w:rPr>
        <w:t>1/15 дугаар зүйлийн 15.1.4 дэх заалт:</w:t>
      </w:r>
    </w:p>
    <w:p w14:paraId="51D80CF1" w14:textId="77777777" w:rsidR="00B37105" w:rsidRPr="00BE6DD1" w:rsidRDefault="00B37105" w:rsidP="00B37105">
      <w:pPr>
        <w:ind w:firstLine="720"/>
        <w:contextualSpacing/>
        <w:jc w:val="both"/>
        <w:rPr>
          <w:rFonts w:ascii="Arial" w:hAnsi="Arial" w:cs="Arial"/>
          <w:bCs/>
          <w:lang w:val="mn-MN"/>
        </w:rPr>
      </w:pPr>
    </w:p>
    <w:p w14:paraId="68754AB2" w14:textId="77777777" w:rsidR="00B37105" w:rsidRPr="00BE6DD1" w:rsidRDefault="00B37105" w:rsidP="00B37105">
      <w:pPr>
        <w:ind w:firstLine="1440"/>
        <w:contextualSpacing/>
        <w:jc w:val="both"/>
        <w:rPr>
          <w:rFonts w:ascii="Arial" w:hAnsi="Arial" w:cs="Arial"/>
          <w:bCs/>
          <w:lang w:val="mn-MN"/>
        </w:rPr>
      </w:pPr>
      <w:r w:rsidRPr="00BE6DD1">
        <w:rPr>
          <w:rFonts w:ascii="Arial" w:hAnsi="Arial" w:cs="Arial"/>
          <w:lang w:val="mn-MN"/>
        </w:rPr>
        <w:t>“15.1.4.</w:t>
      </w:r>
      <w:r w:rsidRPr="00BE6DD1">
        <w:rPr>
          <w:rFonts w:ascii="Arial" w:hAnsi="Arial" w:cs="Arial"/>
          <w:shd w:val="clear" w:color="auto" w:fill="FFFFFF"/>
          <w:lang w:val="mn-MN"/>
        </w:rPr>
        <w:t>цөмийн бодис импортлох, экспортлох, тээвэрлэх, өөрийн орны цацраг идэвхт хаягдлыг булшлах.</w:t>
      </w:r>
      <w:r w:rsidRPr="00BE6DD1">
        <w:rPr>
          <w:rFonts w:ascii="Arial" w:hAnsi="Arial" w:cs="Arial"/>
          <w:lang w:val="mn-MN"/>
        </w:rPr>
        <w:t>”</w:t>
      </w:r>
    </w:p>
    <w:p w14:paraId="76BF8400" w14:textId="77777777" w:rsidR="00B37105" w:rsidRPr="00BE6DD1" w:rsidRDefault="00B37105" w:rsidP="00B37105">
      <w:pPr>
        <w:tabs>
          <w:tab w:val="left" w:pos="2552"/>
        </w:tabs>
        <w:contextualSpacing/>
        <w:jc w:val="both"/>
        <w:rPr>
          <w:rFonts w:ascii="Arial" w:hAnsi="Arial" w:cs="Arial"/>
          <w:bCs/>
          <w:lang w:val="mn-MN"/>
        </w:rPr>
      </w:pPr>
    </w:p>
    <w:p w14:paraId="2C37DF13" w14:textId="77777777" w:rsidR="00B37105" w:rsidRPr="00BE6DD1" w:rsidRDefault="00B37105" w:rsidP="00B37105">
      <w:pPr>
        <w:tabs>
          <w:tab w:val="left" w:pos="0"/>
        </w:tabs>
        <w:contextualSpacing/>
        <w:jc w:val="both"/>
        <w:rPr>
          <w:rFonts w:ascii="Arial" w:hAnsi="Arial" w:cs="Arial"/>
          <w:bCs/>
          <w:shd w:val="clear" w:color="auto" w:fill="FFFFFF"/>
          <w:lang w:val="mn-MN"/>
        </w:rPr>
      </w:pPr>
      <w:r w:rsidRPr="00BE6DD1">
        <w:rPr>
          <w:rFonts w:ascii="Arial" w:eastAsia="Calibri" w:hAnsi="Arial" w:cs="Arial"/>
          <w:b/>
          <w:bCs/>
          <w:lang w:val="mn-MN"/>
        </w:rPr>
        <w:tab/>
      </w:r>
      <w:r w:rsidRPr="00BE6DD1">
        <w:rPr>
          <w:rFonts w:ascii="Arial" w:eastAsia="Calibri" w:hAnsi="Arial" w:cs="Arial"/>
          <w:b/>
          <w:bCs/>
          <w:lang w:val="mn-MN"/>
        </w:rPr>
        <w:tab/>
        <w:t>2/</w:t>
      </w:r>
      <w:r w:rsidRPr="00BE6DD1">
        <w:rPr>
          <w:rFonts w:ascii="Arial" w:hAnsi="Arial" w:cs="Arial"/>
          <w:b/>
          <w:lang w:val="mn-MN"/>
        </w:rPr>
        <w:t xml:space="preserve">18 дугаар зүйлийн </w:t>
      </w:r>
      <w:r w:rsidRPr="00BE6DD1">
        <w:rPr>
          <w:rFonts w:ascii="Arial" w:hAnsi="Arial" w:cs="Arial"/>
          <w:b/>
          <w:shd w:val="clear" w:color="auto" w:fill="FFFFFF"/>
          <w:lang w:val="mn-MN"/>
        </w:rPr>
        <w:t>18.9 дэх хэсэг:</w:t>
      </w:r>
    </w:p>
    <w:p w14:paraId="7675A51B" w14:textId="77777777" w:rsidR="00B37105" w:rsidRPr="00BE6DD1" w:rsidRDefault="00B37105" w:rsidP="00B37105">
      <w:pPr>
        <w:tabs>
          <w:tab w:val="left" w:pos="2552"/>
        </w:tabs>
        <w:contextualSpacing/>
        <w:jc w:val="both"/>
        <w:rPr>
          <w:rFonts w:ascii="Arial" w:hAnsi="Arial" w:cs="Arial"/>
          <w:shd w:val="clear" w:color="auto" w:fill="FFFFFF"/>
          <w:lang w:val="mn-MN"/>
        </w:rPr>
      </w:pPr>
    </w:p>
    <w:p w14:paraId="1A4BE869" w14:textId="77777777" w:rsidR="00B37105" w:rsidRPr="00BE6DD1" w:rsidRDefault="00B37105" w:rsidP="00B37105">
      <w:pPr>
        <w:tabs>
          <w:tab w:val="left" w:pos="2552"/>
        </w:tabs>
        <w:ind w:firstLine="709"/>
        <w:contextualSpacing/>
        <w:jc w:val="both"/>
        <w:rPr>
          <w:rFonts w:ascii="Arial" w:hAnsi="Arial" w:cs="Arial"/>
          <w:lang w:val="mn-MN" w:eastAsia="ja-JP"/>
        </w:rPr>
      </w:pPr>
      <w:r w:rsidRPr="00BE6DD1">
        <w:rPr>
          <w:rFonts w:ascii="Arial" w:hAnsi="Arial" w:cs="Arial"/>
          <w:lang w:val="mn-MN" w:eastAsia="ja-JP"/>
        </w:rPr>
        <w:t>“18.9.Тусгай зөвшөөрөл олгох эрх бүхий байгууллага тусгай зөвшөөрөл хүссэн өргөдөл, холбогдох бусад баримт бичгийг хянаж, тусгай зөвшөөрөл олгох эсэх асуудлыг үйл ажиллагааны онцлогийг харгалзан дараах хугацаанд шийдвэрлэнэ:</w:t>
      </w:r>
    </w:p>
    <w:p w14:paraId="6D1FB153" w14:textId="77777777" w:rsidR="00B37105" w:rsidRPr="00BE6DD1" w:rsidRDefault="00B37105" w:rsidP="00B37105">
      <w:pPr>
        <w:tabs>
          <w:tab w:val="left" w:pos="2552"/>
        </w:tabs>
        <w:contextualSpacing/>
        <w:jc w:val="both"/>
        <w:rPr>
          <w:rFonts w:ascii="Arial" w:hAnsi="Arial" w:cs="Arial"/>
          <w:lang w:val="mn-MN" w:eastAsia="ja-JP"/>
        </w:rPr>
      </w:pPr>
    </w:p>
    <w:p w14:paraId="73E2AB4B" w14:textId="77777777" w:rsidR="00B37105" w:rsidRPr="00BE6DD1" w:rsidRDefault="00B37105" w:rsidP="00B37105">
      <w:pPr>
        <w:tabs>
          <w:tab w:val="left" w:pos="2552"/>
        </w:tabs>
        <w:ind w:firstLine="1418"/>
        <w:contextualSpacing/>
        <w:jc w:val="both"/>
        <w:rPr>
          <w:rFonts w:ascii="Arial" w:hAnsi="Arial" w:cs="Arial"/>
          <w:lang w:val="mn-MN" w:eastAsia="ja-JP"/>
        </w:rPr>
      </w:pPr>
      <w:r w:rsidRPr="00BE6DD1">
        <w:rPr>
          <w:rFonts w:ascii="Arial" w:hAnsi="Arial" w:cs="Arial"/>
          <w:lang w:val="mn-MN" w:eastAsia="ja-JP"/>
        </w:rPr>
        <w:t>18.9.1.энэ хуулийн 15.1, 15.2-т заасан үйл ажиллагаа эрхлэх тусгай зөвшөөрлийг 6-12 сарын дотор;</w:t>
      </w:r>
    </w:p>
    <w:p w14:paraId="59D25D0C" w14:textId="77777777" w:rsidR="00B37105" w:rsidRPr="00BE6DD1" w:rsidRDefault="00B37105" w:rsidP="00B37105">
      <w:pPr>
        <w:tabs>
          <w:tab w:val="left" w:pos="2552"/>
        </w:tabs>
        <w:ind w:firstLine="1418"/>
        <w:contextualSpacing/>
        <w:jc w:val="both"/>
        <w:rPr>
          <w:rFonts w:ascii="Arial" w:hAnsi="Arial" w:cs="Arial"/>
          <w:lang w:val="mn-MN" w:eastAsia="ja-JP"/>
        </w:rPr>
      </w:pPr>
    </w:p>
    <w:p w14:paraId="7648787D" w14:textId="77777777" w:rsidR="00B37105" w:rsidRPr="00BE6DD1" w:rsidRDefault="00B37105" w:rsidP="00B37105">
      <w:pPr>
        <w:tabs>
          <w:tab w:val="left" w:pos="2552"/>
        </w:tabs>
        <w:ind w:firstLine="1418"/>
        <w:contextualSpacing/>
        <w:jc w:val="both"/>
        <w:rPr>
          <w:rFonts w:ascii="Arial" w:hAnsi="Arial" w:cs="Arial"/>
          <w:lang w:val="mn-MN" w:eastAsia="ja-JP"/>
        </w:rPr>
      </w:pPr>
      <w:r w:rsidRPr="00BE6DD1">
        <w:rPr>
          <w:rFonts w:ascii="Arial" w:hAnsi="Arial" w:cs="Arial"/>
          <w:lang w:val="mn-MN" w:eastAsia="ja-JP"/>
        </w:rPr>
        <w:t>18.9.2.энэ хуулийн 15.3.1, 15.3.2, 15.3.4-т заасан үйл ажиллагаа эрхлэх тусгай зөвшөөрлийг 1-3 сарын дотор;</w:t>
      </w:r>
    </w:p>
    <w:p w14:paraId="55433929" w14:textId="77777777" w:rsidR="00B37105" w:rsidRPr="00BE6DD1" w:rsidRDefault="00B37105" w:rsidP="00B37105">
      <w:pPr>
        <w:tabs>
          <w:tab w:val="left" w:pos="2552"/>
        </w:tabs>
        <w:ind w:firstLine="1418"/>
        <w:contextualSpacing/>
        <w:jc w:val="both"/>
        <w:rPr>
          <w:rFonts w:ascii="Arial" w:hAnsi="Arial" w:cs="Arial"/>
          <w:lang w:val="mn-MN" w:eastAsia="ja-JP"/>
        </w:rPr>
      </w:pPr>
    </w:p>
    <w:p w14:paraId="0EF4CD83" w14:textId="77777777" w:rsidR="00B37105" w:rsidRPr="00BE6DD1" w:rsidRDefault="00B37105" w:rsidP="00B37105">
      <w:pPr>
        <w:tabs>
          <w:tab w:val="left" w:pos="2552"/>
        </w:tabs>
        <w:ind w:firstLine="1418"/>
        <w:contextualSpacing/>
        <w:jc w:val="both"/>
        <w:rPr>
          <w:rFonts w:ascii="Arial" w:hAnsi="Arial" w:cs="Arial"/>
          <w:lang w:val="mn-MN" w:eastAsia="ja-JP"/>
        </w:rPr>
      </w:pPr>
      <w:r w:rsidRPr="00BE6DD1">
        <w:rPr>
          <w:rFonts w:ascii="Arial" w:hAnsi="Arial" w:cs="Arial"/>
          <w:lang w:val="mn-MN" w:eastAsia="ja-JP"/>
        </w:rPr>
        <w:t>18.9.3.энэ хуулийн 15.3.3-т заасан үйл ажиллагаа эрхлэх тусгай зөвшөөрлийг ажлын 3-14 өдрийн дотор.”</w:t>
      </w:r>
    </w:p>
    <w:p w14:paraId="607CD87B" w14:textId="77777777" w:rsidR="00B37105" w:rsidRPr="00BE6DD1" w:rsidRDefault="00B37105" w:rsidP="00B37105">
      <w:pPr>
        <w:tabs>
          <w:tab w:val="left" w:pos="0"/>
        </w:tabs>
        <w:contextualSpacing/>
        <w:jc w:val="both"/>
        <w:rPr>
          <w:rFonts w:ascii="Arial" w:hAnsi="Arial" w:cs="Arial"/>
          <w:shd w:val="clear" w:color="auto" w:fill="FFFFFF"/>
          <w:lang w:val="mn-MN"/>
        </w:rPr>
      </w:pPr>
    </w:p>
    <w:p w14:paraId="3089C1DF" w14:textId="77777777" w:rsidR="00B37105" w:rsidRPr="00BE6DD1" w:rsidRDefault="00B37105" w:rsidP="00B37105">
      <w:pPr>
        <w:tabs>
          <w:tab w:val="left" w:pos="0"/>
        </w:tabs>
        <w:contextualSpacing/>
        <w:jc w:val="both"/>
        <w:rPr>
          <w:rFonts w:ascii="Arial" w:hAnsi="Arial" w:cs="Arial"/>
          <w:bCs/>
          <w:shd w:val="clear" w:color="auto" w:fill="FFFFFF"/>
          <w:lang w:val="mn-MN"/>
        </w:rPr>
      </w:pPr>
      <w:r w:rsidRPr="00BE6DD1">
        <w:rPr>
          <w:rFonts w:ascii="Arial" w:hAnsi="Arial" w:cs="Arial"/>
          <w:shd w:val="clear" w:color="auto" w:fill="FFFFFF"/>
          <w:lang w:val="mn-MN"/>
        </w:rPr>
        <w:tab/>
      </w:r>
      <w:r w:rsidRPr="00BE6DD1">
        <w:rPr>
          <w:rFonts w:ascii="Arial" w:hAnsi="Arial" w:cs="Arial"/>
          <w:shd w:val="clear" w:color="auto" w:fill="FFFFFF"/>
          <w:lang w:val="mn-MN"/>
        </w:rPr>
        <w:tab/>
      </w:r>
      <w:r w:rsidRPr="00BE6DD1">
        <w:rPr>
          <w:rFonts w:ascii="Arial" w:eastAsia="Calibri" w:hAnsi="Arial" w:cs="Arial"/>
          <w:b/>
          <w:bCs/>
          <w:lang w:val="mn-MN"/>
        </w:rPr>
        <w:t>3/</w:t>
      </w:r>
      <w:r w:rsidRPr="00BE6DD1">
        <w:rPr>
          <w:rFonts w:ascii="Arial" w:hAnsi="Arial" w:cs="Arial"/>
          <w:b/>
          <w:lang w:val="mn-MN"/>
        </w:rPr>
        <w:t xml:space="preserve">18 дугаар зүйлийн </w:t>
      </w:r>
      <w:r w:rsidRPr="00BE6DD1">
        <w:rPr>
          <w:rFonts w:ascii="Arial" w:hAnsi="Arial" w:cs="Arial"/>
          <w:b/>
          <w:shd w:val="clear" w:color="auto" w:fill="FFFFFF"/>
          <w:lang w:val="mn-MN"/>
        </w:rPr>
        <w:t>18.11 дэх хэсэг:</w:t>
      </w:r>
    </w:p>
    <w:p w14:paraId="2FDF6406" w14:textId="77777777" w:rsidR="00B37105" w:rsidRPr="00BE6DD1" w:rsidRDefault="00B37105" w:rsidP="00B37105">
      <w:pPr>
        <w:tabs>
          <w:tab w:val="left" w:pos="2552"/>
        </w:tabs>
        <w:ind w:firstLine="720"/>
        <w:contextualSpacing/>
        <w:jc w:val="both"/>
        <w:rPr>
          <w:rFonts w:ascii="Arial" w:hAnsi="Arial" w:cs="Arial"/>
          <w:i/>
          <w:iCs/>
          <w:shd w:val="clear" w:color="auto" w:fill="FFFFFF"/>
          <w:lang w:val="mn-MN"/>
        </w:rPr>
      </w:pPr>
    </w:p>
    <w:p w14:paraId="280D161E" w14:textId="77777777" w:rsidR="00B37105" w:rsidRPr="00BE6DD1" w:rsidRDefault="00B37105" w:rsidP="00B37105">
      <w:pPr>
        <w:tabs>
          <w:tab w:val="left" w:pos="2552"/>
        </w:tabs>
        <w:ind w:firstLine="720"/>
        <w:contextualSpacing/>
        <w:jc w:val="both"/>
        <w:rPr>
          <w:rFonts w:ascii="Arial" w:hAnsi="Arial" w:cs="Arial"/>
          <w:shd w:val="clear" w:color="auto" w:fill="FFFFFF"/>
          <w:lang w:val="mn-MN"/>
        </w:rPr>
      </w:pPr>
      <w:r w:rsidRPr="00BE6DD1">
        <w:rPr>
          <w:rFonts w:ascii="Arial" w:hAnsi="Arial" w:cs="Arial"/>
          <w:shd w:val="clear" w:color="auto" w:fill="FFFFFF"/>
          <w:lang w:val="mn-MN"/>
        </w:rPr>
        <w:t>“18.11.Тусгай зөвшөөрөл олгох эрх бүхий байгууллага шаардлагатай бол холбогдох байгууллагаар өргөдөл гаргагчийн баримт бичгийн магадлан шалгах ажиллагааг хийлгэж болно.”</w:t>
      </w:r>
    </w:p>
    <w:p w14:paraId="191651DF" w14:textId="77777777" w:rsidR="00B37105" w:rsidRPr="00BE6DD1" w:rsidRDefault="00B37105" w:rsidP="00B37105">
      <w:pPr>
        <w:tabs>
          <w:tab w:val="left" w:pos="2552"/>
        </w:tabs>
        <w:contextualSpacing/>
        <w:jc w:val="both"/>
        <w:rPr>
          <w:rFonts w:ascii="Arial" w:hAnsi="Arial" w:cs="Arial"/>
          <w:lang w:val="mn-MN"/>
        </w:rPr>
      </w:pPr>
    </w:p>
    <w:p w14:paraId="084F8ABE" w14:textId="77777777" w:rsidR="00B37105" w:rsidRPr="00BE6DD1" w:rsidRDefault="00B37105" w:rsidP="00B37105">
      <w:pPr>
        <w:shd w:val="clear" w:color="auto" w:fill="FFFFFF"/>
        <w:tabs>
          <w:tab w:val="left" w:pos="1134"/>
        </w:tabs>
        <w:contextualSpacing/>
        <w:jc w:val="both"/>
        <w:rPr>
          <w:rFonts w:ascii="Arial" w:hAnsi="Arial" w:cs="Arial"/>
          <w:bCs/>
          <w:lang w:val="mn-MN"/>
        </w:rPr>
      </w:pPr>
      <w:r w:rsidRPr="00BE6DD1">
        <w:rPr>
          <w:rFonts w:ascii="Arial" w:hAnsi="Arial" w:cs="Arial"/>
          <w:b/>
          <w:lang w:val="mn-MN"/>
        </w:rPr>
        <w:tab/>
      </w:r>
      <w:r w:rsidRPr="00BE6DD1">
        <w:rPr>
          <w:rFonts w:ascii="Arial" w:hAnsi="Arial" w:cs="Arial"/>
          <w:b/>
          <w:lang w:val="mn-MN"/>
        </w:rPr>
        <w:tab/>
        <w:t>4/19 дүгээр зүйлийн 19.6 дахь хэсэг:</w:t>
      </w:r>
    </w:p>
    <w:p w14:paraId="6E8A4D5F" w14:textId="77777777" w:rsidR="00B37105" w:rsidRPr="00BE6DD1" w:rsidRDefault="00B37105" w:rsidP="00B37105">
      <w:pPr>
        <w:shd w:val="clear" w:color="auto" w:fill="FFFFFF"/>
        <w:tabs>
          <w:tab w:val="left" w:pos="2552"/>
        </w:tabs>
        <w:contextualSpacing/>
        <w:jc w:val="both"/>
        <w:rPr>
          <w:rFonts w:ascii="Arial" w:hAnsi="Arial" w:cs="Arial"/>
          <w:bCs/>
          <w:lang w:val="mn-MN"/>
        </w:rPr>
      </w:pPr>
    </w:p>
    <w:p w14:paraId="4AC7381D" w14:textId="77777777" w:rsidR="00B37105" w:rsidRPr="00BE6DD1" w:rsidRDefault="00B37105" w:rsidP="00B37105">
      <w:pPr>
        <w:shd w:val="clear" w:color="auto" w:fill="FFFFFF"/>
        <w:tabs>
          <w:tab w:val="left" w:pos="2552"/>
        </w:tabs>
        <w:ind w:firstLine="720"/>
        <w:contextualSpacing/>
        <w:jc w:val="both"/>
        <w:rPr>
          <w:rFonts w:ascii="Arial" w:hAnsi="Arial" w:cs="Arial"/>
          <w:bCs/>
          <w:shd w:val="clear" w:color="auto" w:fill="FFFFFF"/>
          <w:lang w:val="mn-MN"/>
        </w:rPr>
      </w:pPr>
      <w:r w:rsidRPr="00BE6DD1">
        <w:rPr>
          <w:rFonts w:ascii="Arial" w:hAnsi="Arial" w:cs="Arial"/>
          <w:bCs/>
          <w:shd w:val="clear" w:color="auto" w:fill="FFFFFF"/>
          <w:lang w:val="mn-MN"/>
        </w:rPr>
        <w:t>“19.6.Тусгай зөвшөөрөл олгох эрх бүхий байгууллага өргөдлийг хүлээн авч Зөвшөөрлийн тухай хуулийн 5.2 дугаар зүйлийн 2-т заасны дагуу баримт бичгийн бүрдлийг шалгана.”</w:t>
      </w:r>
    </w:p>
    <w:p w14:paraId="57C07B16" w14:textId="77777777" w:rsidR="00B37105" w:rsidRPr="00BE6DD1" w:rsidRDefault="00B37105" w:rsidP="00B37105">
      <w:pPr>
        <w:shd w:val="clear" w:color="auto" w:fill="FFFFFF"/>
        <w:tabs>
          <w:tab w:val="left" w:pos="2552"/>
        </w:tabs>
        <w:contextualSpacing/>
        <w:jc w:val="both"/>
        <w:rPr>
          <w:rFonts w:ascii="Arial" w:hAnsi="Arial" w:cs="Arial"/>
          <w:bCs/>
          <w:shd w:val="clear" w:color="auto" w:fill="FFFFFF"/>
          <w:lang w:val="mn-MN"/>
        </w:rPr>
      </w:pPr>
    </w:p>
    <w:p w14:paraId="0E3EF0EF" w14:textId="77777777" w:rsidR="00B37105" w:rsidRPr="00BE6DD1" w:rsidRDefault="00B37105" w:rsidP="00B37105">
      <w:pPr>
        <w:shd w:val="clear" w:color="auto" w:fill="FFFFFF"/>
        <w:tabs>
          <w:tab w:val="left" w:pos="1134"/>
        </w:tabs>
        <w:ind w:firstLine="720"/>
        <w:contextualSpacing/>
        <w:jc w:val="both"/>
        <w:rPr>
          <w:rFonts w:ascii="Arial" w:hAnsi="Arial" w:cs="Arial"/>
          <w:bCs/>
          <w:shd w:val="clear" w:color="auto" w:fill="FFFFFF"/>
          <w:lang w:val="mn-MN"/>
        </w:rPr>
      </w:pPr>
      <w:r w:rsidRPr="00BE6DD1">
        <w:rPr>
          <w:rFonts w:ascii="Arial" w:hAnsi="Arial" w:cs="Arial"/>
          <w:b/>
          <w:shd w:val="clear" w:color="auto" w:fill="FFFFFF"/>
          <w:lang w:val="mn-MN"/>
        </w:rPr>
        <w:tab/>
      </w:r>
      <w:r w:rsidRPr="00BE6DD1">
        <w:rPr>
          <w:rFonts w:ascii="Arial" w:hAnsi="Arial" w:cs="Arial"/>
          <w:b/>
          <w:shd w:val="clear" w:color="auto" w:fill="FFFFFF"/>
          <w:lang w:val="mn-MN"/>
        </w:rPr>
        <w:tab/>
        <w:t>5/20 дугаар зүйлийн 20.1 дэх хэсэг:</w:t>
      </w:r>
    </w:p>
    <w:p w14:paraId="1FADB08E" w14:textId="77777777" w:rsidR="00B37105" w:rsidRPr="00BE6DD1" w:rsidRDefault="00B37105" w:rsidP="00B37105">
      <w:pPr>
        <w:shd w:val="clear" w:color="auto" w:fill="FFFFFF"/>
        <w:tabs>
          <w:tab w:val="left" w:pos="2552"/>
        </w:tabs>
        <w:contextualSpacing/>
        <w:jc w:val="both"/>
        <w:rPr>
          <w:rFonts w:ascii="Arial" w:hAnsi="Arial" w:cs="Arial"/>
          <w:shd w:val="clear" w:color="auto" w:fill="FFFFFF"/>
          <w:lang w:val="mn-MN"/>
        </w:rPr>
      </w:pPr>
    </w:p>
    <w:p w14:paraId="655B061C" w14:textId="77777777" w:rsidR="00B37105" w:rsidRPr="00BE6DD1" w:rsidRDefault="00B37105" w:rsidP="00B37105">
      <w:pPr>
        <w:shd w:val="clear" w:color="auto" w:fill="FFFFFF"/>
        <w:tabs>
          <w:tab w:val="left" w:pos="2552"/>
        </w:tabs>
        <w:ind w:firstLine="720"/>
        <w:contextualSpacing/>
        <w:jc w:val="both"/>
        <w:rPr>
          <w:rFonts w:ascii="Arial" w:hAnsi="Arial" w:cs="Arial"/>
          <w:shd w:val="clear" w:color="auto" w:fill="FFFFFF"/>
          <w:lang w:val="mn-MN"/>
        </w:rPr>
      </w:pPr>
      <w:r w:rsidRPr="00BE6DD1">
        <w:rPr>
          <w:rFonts w:ascii="Arial" w:hAnsi="Arial" w:cs="Arial"/>
          <w:shd w:val="clear" w:color="auto" w:fill="FFFFFF"/>
          <w:lang w:val="mn-MN"/>
        </w:rPr>
        <w:t>“20.1.Энэ хуулийн 15 дугаар зүйлд заасан үйл ажиллагаа эрхлэх тусгай зөвшөөрөл эзэмшигч Улсын тэмдэгтийн хураамжийн хуулийн 34 дүгээр зүйлд заасны дагуу тэмдэгтийн хураамж төлнө.”</w:t>
      </w:r>
    </w:p>
    <w:p w14:paraId="700647CC" w14:textId="77777777" w:rsidR="00B37105" w:rsidRPr="00BE6DD1" w:rsidRDefault="00B37105" w:rsidP="00B37105">
      <w:pPr>
        <w:shd w:val="clear" w:color="auto" w:fill="FFFFFF"/>
        <w:tabs>
          <w:tab w:val="left" w:pos="2552"/>
        </w:tabs>
        <w:contextualSpacing/>
        <w:jc w:val="both"/>
        <w:rPr>
          <w:rFonts w:ascii="Arial" w:hAnsi="Arial" w:cs="Arial"/>
          <w:bCs/>
          <w:lang w:val="mn-MN"/>
        </w:rPr>
      </w:pPr>
    </w:p>
    <w:p w14:paraId="3BFD3EF7" w14:textId="77777777" w:rsidR="00B37105" w:rsidRPr="00BE6DD1" w:rsidRDefault="00B37105" w:rsidP="00B37105">
      <w:pPr>
        <w:shd w:val="clear" w:color="auto" w:fill="FFFFFF"/>
        <w:tabs>
          <w:tab w:val="left" w:pos="1134"/>
        </w:tabs>
        <w:ind w:firstLine="709"/>
        <w:contextualSpacing/>
        <w:jc w:val="both"/>
        <w:rPr>
          <w:rFonts w:ascii="Arial" w:hAnsi="Arial" w:cs="Arial"/>
          <w:bCs/>
          <w:lang w:val="mn-MN"/>
        </w:rPr>
      </w:pPr>
      <w:r w:rsidRPr="00BE6DD1">
        <w:rPr>
          <w:rFonts w:ascii="Arial" w:hAnsi="Arial" w:cs="Arial"/>
          <w:b/>
          <w:lang w:val="mn-MN"/>
        </w:rPr>
        <w:tab/>
      </w:r>
      <w:r w:rsidRPr="00BE6DD1">
        <w:rPr>
          <w:rFonts w:ascii="Arial" w:hAnsi="Arial" w:cs="Arial"/>
          <w:b/>
          <w:lang w:val="mn-MN"/>
        </w:rPr>
        <w:tab/>
        <w:t>6/</w:t>
      </w:r>
      <w:r w:rsidRPr="00BE6DD1">
        <w:rPr>
          <w:rFonts w:ascii="Arial" w:hAnsi="Arial" w:cs="Arial"/>
          <w:b/>
          <w:bCs/>
          <w:lang w:val="mn-MN"/>
        </w:rPr>
        <w:t xml:space="preserve">21 дүгээр зүйлийн </w:t>
      </w:r>
      <w:r w:rsidRPr="00BE6DD1">
        <w:rPr>
          <w:rFonts w:ascii="Arial" w:hAnsi="Arial" w:cs="Arial"/>
          <w:b/>
          <w:lang w:val="mn-MN"/>
        </w:rPr>
        <w:t>21.1 дэх хэсэг:</w:t>
      </w:r>
    </w:p>
    <w:p w14:paraId="7D656C42" w14:textId="77777777" w:rsidR="00B37105" w:rsidRPr="00BE6DD1" w:rsidRDefault="00B37105" w:rsidP="00B37105">
      <w:pPr>
        <w:tabs>
          <w:tab w:val="left" w:pos="2552"/>
        </w:tabs>
        <w:contextualSpacing/>
        <w:jc w:val="both"/>
        <w:rPr>
          <w:rFonts w:ascii="Arial" w:hAnsi="Arial" w:cs="Arial"/>
          <w:lang w:val="mn-MN"/>
        </w:rPr>
      </w:pPr>
    </w:p>
    <w:p w14:paraId="36F71AB6" w14:textId="77777777" w:rsidR="00B37105" w:rsidRPr="00BE6DD1" w:rsidRDefault="00B37105" w:rsidP="00B37105">
      <w:pPr>
        <w:tabs>
          <w:tab w:val="left" w:pos="2552"/>
        </w:tabs>
        <w:ind w:firstLine="720"/>
        <w:contextualSpacing/>
        <w:jc w:val="both"/>
        <w:rPr>
          <w:rFonts w:ascii="Arial" w:hAnsi="Arial" w:cs="Arial"/>
          <w:lang w:val="mn-MN"/>
        </w:rPr>
      </w:pPr>
      <w:r w:rsidRPr="00BE6DD1">
        <w:rPr>
          <w:rFonts w:ascii="Arial" w:hAnsi="Arial" w:cs="Arial"/>
          <w:lang w:val="mn-MN"/>
        </w:rPr>
        <w:t>“21.1.Энэ хуулийн 15.1.1, 15.1.3, 15.1.4, 15.2.1, 15.2.3, 15.3-т заасан үйл ажиллагаа эрхлэх тусгай зөвшөөрлийг таван жилийн хугацаагаар олгоно.”</w:t>
      </w:r>
    </w:p>
    <w:p w14:paraId="40C87FF9" w14:textId="77777777" w:rsidR="00B37105" w:rsidRPr="00BE6DD1" w:rsidRDefault="00B37105" w:rsidP="00B37105">
      <w:pPr>
        <w:tabs>
          <w:tab w:val="left" w:pos="2552"/>
        </w:tabs>
        <w:ind w:firstLine="720"/>
        <w:contextualSpacing/>
        <w:jc w:val="both"/>
        <w:rPr>
          <w:rFonts w:ascii="Arial" w:hAnsi="Arial" w:cs="Arial"/>
          <w:lang w:val="mn-MN"/>
        </w:rPr>
      </w:pPr>
    </w:p>
    <w:p w14:paraId="66E254B6" w14:textId="77777777" w:rsidR="00B37105" w:rsidRPr="00BE6DD1" w:rsidRDefault="00B37105" w:rsidP="00B37105">
      <w:pPr>
        <w:tabs>
          <w:tab w:val="left" w:pos="1276"/>
        </w:tabs>
        <w:ind w:firstLine="720"/>
        <w:contextualSpacing/>
        <w:jc w:val="both"/>
        <w:rPr>
          <w:rFonts w:ascii="Arial" w:hAnsi="Arial" w:cs="Arial"/>
          <w:lang w:val="mn-MN"/>
        </w:rPr>
      </w:pPr>
      <w:r w:rsidRPr="00BE6DD1">
        <w:rPr>
          <w:rFonts w:ascii="Arial" w:hAnsi="Arial" w:cs="Arial"/>
          <w:lang w:val="mn-MN"/>
        </w:rPr>
        <w:tab/>
      </w:r>
      <w:r w:rsidRPr="00BE6DD1">
        <w:rPr>
          <w:rFonts w:ascii="Arial" w:hAnsi="Arial" w:cs="Arial"/>
          <w:lang w:val="mn-MN"/>
        </w:rPr>
        <w:tab/>
      </w:r>
      <w:r w:rsidRPr="00BE6DD1">
        <w:rPr>
          <w:rFonts w:ascii="Arial" w:hAnsi="Arial" w:cs="Arial"/>
          <w:b/>
          <w:shd w:val="clear" w:color="auto" w:fill="FFFFFF"/>
          <w:lang w:val="mn-MN"/>
        </w:rPr>
        <w:t>7/</w:t>
      </w:r>
      <w:r w:rsidRPr="00BE6DD1">
        <w:rPr>
          <w:rFonts w:ascii="Arial" w:hAnsi="Arial" w:cs="Arial"/>
          <w:b/>
          <w:bCs/>
          <w:lang w:val="mn-MN"/>
        </w:rPr>
        <w:t xml:space="preserve">22 дугаар зүйлийн </w:t>
      </w:r>
      <w:r w:rsidRPr="00BE6DD1">
        <w:rPr>
          <w:rFonts w:ascii="Arial" w:hAnsi="Arial" w:cs="Arial"/>
          <w:b/>
          <w:shd w:val="clear" w:color="auto" w:fill="FFFFFF"/>
          <w:lang w:val="mn-MN"/>
        </w:rPr>
        <w:t xml:space="preserve">22.3 </w:t>
      </w:r>
      <w:r w:rsidRPr="00BE6DD1">
        <w:rPr>
          <w:rFonts w:ascii="Arial" w:hAnsi="Arial" w:cs="Arial"/>
          <w:b/>
          <w:lang w:val="mn-MN"/>
        </w:rPr>
        <w:t>дахь хэсэг:</w:t>
      </w:r>
    </w:p>
    <w:p w14:paraId="13D8C17B" w14:textId="77777777" w:rsidR="00B37105" w:rsidRPr="00BE6DD1" w:rsidRDefault="00B37105" w:rsidP="00B37105">
      <w:pPr>
        <w:tabs>
          <w:tab w:val="left" w:pos="2552"/>
        </w:tabs>
        <w:contextualSpacing/>
        <w:jc w:val="both"/>
        <w:rPr>
          <w:rFonts w:ascii="Arial" w:hAnsi="Arial" w:cs="Arial"/>
          <w:shd w:val="clear" w:color="auto" w:fill="FFFFFF"/>
          <w:lang w:val="mn-MN"/>
        </w:rPr>
      </w:pPr>
    </w:p>
    <w:p w14:paraId="7D834CB8" w14:textId="77777777" w:rsidR="00B37105" w:rsidRPr="00BE6DD1" w:rsidRDefault="00B37105" w:rsidP="00B37105">
      <w:pPr>
        <w:tabs>
          <w:tab w:val="left" w:pos="2552"/>
        </w:tabs>
        <w:ind w:firstLine="720"/>
        <w:contextualSpacing/>
        <w:jc w:val="both"/>
        <w:rPr>
          <w:rFonts w:ascii="Arial" w:hAnsi="Arial" w:cs="Arial"/>
          <w:shd w:val="clear" w:color="auto" w:fill="FFFFFF"/>
          <w:lang w:val="mn-MN"/>
        </w:rPr>
      </w:pPr>
      <w:r w:rsidRPr="00BE6DD1">
        <w:rPr>
          <w:rFonts w:ascii="Arial" w:hAnsi="Arial" w:cs="Arial"/>
          <w:shd w:val="clear" w:color="auto" w:fill="FFFFFF"/>
          <w:lang w:val="mn-MN"/>
        </w:rPr>
        <w:t>“22.3.Тусгай зөвшөөрөл олгох эрх бүхий байгууллага энэ хуулийн 22.1-д заасан өргөдлийг хүлээн авснаас хойш ажлын 30 өдөрт багтаан зөвшөөрөл эзэмшигч энэ хуульд заасан нөхцөл, шаардлагыг хангасан эсэхийг хянан, зөрчилгүй бол тусгай зөвшөөрлийг таван жилийн хугацаагаар сунгаж, энэ тухай тусгай зөвшөөрлийн бүртгэлд тэмдэглэнэ.”</w:t>
      </w:r>
    </w:p>
    <w:p w14:paraId="31232229" w14:textId="77777777" w:rsidR="00B37105" w:rsidRPr="00BE6DD1" w:rsidRDefault="00B37105" w:rsidP="00B37105">
      <w:pPr>
        <w:tabs>
          <w:tab w:val="left" w:pos="2552"/>
        </w:tabs>
        <w:contextualSpacing/>
        <w:jc w:val="both"/>
        <w:rPr>
          <w:rFonts w:ascii="Arial" w:hAnsi="Arial" w:cs="Arial"/>
          <w:shd w:val="clear" w:color="auto" w:fill="FFFFFF"/>
          <w:lang w:val="mn-MN"/>
        </w:rPr>
      </w:pPr>
    </w:p>
    <w:p w14:paraId="2BE2475A" w14:textId="77777777" w:rsidR="00B37105" w:rsidRPr="00BE6DD1" w:rsidRDefault="00B37105" w:rsidP="00B37105">
      <w:pPr>
        <w:ind w:firstLine="709"/>
        <w:contextualSpacing/>
        <w:jc w:val="both"/>
        <w:rPr>
          <w:rFonts w:ascii="Arial" w:hAnsi="Arial" w:cs="Arial"/>
          <w:shd w:val="clear" w:color="auto" w:fill="FFFFFF"/>
          <w:lang w:val="mn-MN"/>
        </w:rPr>
      </w:pPr>
      <w:r w:rsidRPr="00BE6DD1">
        <w:rPr>
          <w:rFonts w:ascii="Arial" w:hAnsi="Arial" w:cs="Arial"/>
          <w:b/>
          <w:bCs/>
          <w:shd w:val="clear" w:color="auto" w:fill="FFFFFF"/>
          <w:lang w:val="mn-MN"/>
        </w:rPr>
        <w:tab/>
      </w:r>
      <w:r w:rsidRPr="00BE6DD1">
        <w:rPr>
          <w:rFonts w:ascii="Arial" w:hAnsi="Arial" w:cs="Arial"/>
          <w:b/>
          <w:bCs/>
          <w:shd w:val="clear" w:color="auto" w:fill="FFFFFF"/>
          <w:lang w:val="mn-MN"/>
        </w:rPr>
        <w:tab/>
        <w:t>8/23 дугаар зүйлийн 23.1 дэх хэсэг:</w:t>
      </w:r>
    </w:p>
    <w:p w14:paraId="22D813F9" w14:textId="77777777" w:rsidR="00B37105" w:rsidRPr="00BE6DD1" w:rsidRDefault="00B37105" w:rsidP="00B37105">
      <w:pPr>
        <w:tabs>
          <w:tab w:val="left" w:pos="2552"/>
        </w:tabs>
        <w:contextualSpacing/>
        <w:jc w:val="both"/>
        <w:rPr>
          <w:rFonts w:ascii="Arial" w:hAnsi="Arial" w:cs="Arial"/>
          <w:shd w:val="clear" w:color="auto" w:fill="FFFFFF"/>
          <w:lang w:val="mn-MN"/>
        </w:rPr>
      </w:pPr>
    </w:p>
    <w:p w14:paraId="56830DD9" w14:textId="77777777" w:rsidR="00B37105" w:rsidRPr="00BE6DD1" w:rsidRDefault="00B37105" w:rsidP="00B37105">
      <w:pPr>
        <w:tabs>
          <w:tab w:val="left" w:pos="2552"/>
        </w:tabs>
        <w:ind w:firstLine="567"/>
        <w:contextualSpacing/>
        <w:jc w:val="both"/>
        <w:rPr>
          <w:rFonts w:ascii="Arial" w:hAnsi="Arial" w:cs="Arial"/>
          <w:shd w:val="clear" w:color="auto" w:fill="FFFFFF"/>
          <w:lang w:val="mn-MN"/>
        </w:rPr>
      </w:pPr>
      <w:r w:rsidRPr="00BE6DD1">
        <w:rPr>
          <w:rFonts w:ascii="Arial" w:hAnsi="Arial" w:cs="Arial"/>
          <w:shd w:val="clear" w:color="auto" w:fill="FFFFFF"/>
          <w:lang w:val="mn-MN"/>
        </w:rPr>
        <w:t>“23.1.Тусгай зөвшөөрлийг Зөвшөөрлийн тухай хуулийн 6.1 дүгээр зүйлд заасны дагуу түдгэлзүүлж, сэргээнэ.”</w:t>
      </w:r>
    </w:p>
    <w:p w14:paraId="7CB7283A" w14:textId="77777777" w:rsidR="00B37105" w:rsidRPr="00BE6DD1" w:rsidRDefault="00B37105" w:rsidP="00B37105">
      <w:pPr>
        <w:tabs>
          <w:tab w:val="left" w:pos="2552"/>
        </w:tabs>
        <w:contextualSpacing/>
        <w:jc w:val="both"/>
        <w:rPr>
          <w:rFonts w:ascii="Arial" w:hAnsi="Arial" w:cs="Arial"/>
          <w:shd w:val="clear" w:color="auto" w:fill="FFFFFF"/>
          <w:lang w:val="mn-MN"/>
        </w:rPr>
      </w:pPr>
    </w:p>
    <w:p w14:paraId="198F3694" w14:textId="77777777" w:rsidR="00B37105" w:rsidRPr="00BE6DD1" w:rsidRDefault="00B37105" w:rsidP="00B37105">
      <w:pPr>
        <w:ind w:left="720" w:firstLine="698"/>
        <w:contextualSpacing/>
        <w:jc w:val="both"/>
        <w:rPr>
          <w:rFonts w:ascii="Arial" w:hAnsi="Arial" w:cs="Arial"/>
          <w:shd w:val="clear" w:color="auto" w:fill="FFFFFF"/>
          <w:lang w:val="mn-MN"/>
        </w:rPr>
      </w:pPr>
      <w:r w:rsidRPr="00BE6DD1">
        <w:rPr>
          <w:rFonts w:ascii="Arial" w:hAnsi="Arial" w:cs="Arial"/>
          <w:b/>
          <w:shd w:val="clear" w:color="auto" w:fill="FFFFFF"/>
          <w:lang w:val="mn-MN"/>
        </w:rPr>
        <w:t>9/26 дугаар зүйлийн 26.1 дэх хэсэг:</w:t>
      </w:r>
    </w:p>
    <w:p w14:paraId="262D88D6" w14:textId="77777777" w:rsidR="00B37105" w:rsidRPr="00BE6DD1" w:rsidRDefault="00B37105" w:rsidP="00B37105">
      <w:pPr>
        <w:tabs>
          <w:tab w:val="left" w:pos="2552"/>
        </w:tabs>
        <w:contextualSpacing/>
        <w:jc w:val="both"/>
        <w:rPr>
          <w:rFonts w:ascii="Arial" w:hAnsi="Arial" w:cs="Arial"/>
          <w:bCs/>
          <w:shd w:val="clear" w:color="auto" w:fill="FFFFFF"/>
          <w:lang w:val="mn-MN"/>
        </w:rPr>
      </w:pPr>
    </w:p>
    <w:p w14:paraId="3BE72EA4" w14:textId="77777777" w:rsidR="00B37105" w:rsidRPr="00BE6DD1" w:rsidRDefault="00B37105" w:rsidP="00B37105">
      <w:pPr>
        <w:tabs>
          <w:tab w:val="left" w:pos="2552"/>
        </w:tabs>
        <w:ind w:firstLine="709"/>
        <w:contextualSpacing/>
        <w:jc w:val="both"/>
        <w:rPr>
          <w:rFonts w:ascii="Arial" w:hAnsi="Arial" w:cs="Arial"/>
          <w:shd w:val="clear" w:color="auto" w:fill="FFFFFF"/>
          <w:lang w:val="mn-MN"/>
        </w:rPr>
      </w:pPr>
      <w:r w:rsidRPr="00BE6DD1">
        <w:rPr>
          <w:rFonts w:ascii="Arial" w:hAnsi="Arial" w:cs="Arial"/>
          <w:shd w:val="clear" w:color="auto" w:fill="FFFFFF"/>
          <w:lang w:val="mn-MN"/>
        </w:rPr>
        <w:t>“26.1.Тусгай зөвшөөрөл олгох эрх бүхий байгууллага энэ хуулийн 15 дугаар зүйлд заасан тусгай зөвшөөрлийг Зөвшөөрлийн тухай хуулийн 6.2 дугаар зүйлийн  1-д заасан үндэслэлээр хүчингүй болгоно.”</w:t>
      </w:r>
    </w:p>
    <w:p w14:paraId="2EF52C8F" w14:textId="77777777" w:rsidR="00B37105" w:rsidRPr="00BE6DD1" w:rsidRDefault="00B37105" w:rsidP="00B37105">
      <w:pPr>
        <w:tabs>
          <w:tab w:val="left" w:pos="2552"/>
        </w:tabs>
        <w:ind w:firstLine="709"/>
        <w:contextualSpacing/>
        <w:jc w:val="both"/>
        <w:rPr>
          <w:rFonts w:ascii="Arial" w:hAnsi="Arial" w:cs="Arial"/>
          <w:bCs/>
          <w:shd w:val="clear" w:color="auto" w:fill="FFFFFF"/>
          <w:lang w:val="mn-MN"/>
        </w:rPr>
      </w:pPr>
    </w:p>
    <w:p w14:paraId="0EBB41C5" w14:textId="77777777" w:rsidR="00B37105" w:rsidRPr="00BE6DD1" w:rsidRDefault="00B37105" w:rsidP="00B37105">
      <w:pPr>
        <w:tabs>
          <w:tab w:val="left" w:pos="2552"/>
        </w:tabs>
        <w:ind w:firstLine="709"/>
        <w:contextualSpacing/>
        <w:jc w:val="both"/>
        <w:rPr>
          <w:rFonts w:ascii="Arial" w:hAnsi="Arial" w:cs="Arial"/>
          <w:shd w:val="clear" w:color="auto" w:fill="FFFFFF"/>
          <w:lang w:val="mn-MN"/>
        </w:rPr>
      </w:pPr>
      <w:r w:rsidRPr="00BE6DD1">
        <w:rPr>
          <w:rFonts w:ascii="Arial" w:hAnsi="Arial" w:cs="Arial"/>
          <w:b/>
          <w:shd w:val="clear" w:color="auto" w:fill="FFFFFF"/>
          <w:lang w:val="mn-MN"/>
        </w:rPr>
        <w:t>3 дугаар зүйл.</w:t>
      </w:r>
      <w:r w:rsidRPr="00BE6DD1">
        <w:rPr>
          <w:rFonts w:ascii="Arial" w:hAnsi="Arial" w:cs="Arial"/>
          <w:bCs/>
          <w:shd w:val="clear" w:color="auto" w:fill="FFFFFF"/>
          <w:lang w:val="mn-MN"/>
        </w:rPr>
        <w:t xml:space="preserve">Цөмийн энергийн тухай хуулийн </w:t>
      </w:r>
      <w:r w:rsidRPr="00BE6DD1">
        <w:rPr>
          <w:rFonts w:ascii="Arial" w:hAnsi="Arial" w:cs="Arial"/>
          <w:bCs/>
          <w:lang w:val="mn-MN"/>
        </w:rPr>
        <w:t>11 дүгээр зүйлийн 11.1.9 дэх заалтын дугаарыг “11.1.10” гэж,</w:t>
      </w:r>
      <w:r w:rsidRPr="00BE6DD1">
        <w:rPr>
          <w:rFonts w:ascii="Arial" w:hAnsi="Arial" w:cs="Arial"/>
          <w:b/>
          <w:shd w:val="clear" w:color="auto" w:fill="FFFFFF"/>
          <w:lang w:val="mn-MN"/>
        </w:rPr>
        <w:t xml:space="preserve"> </w:t>
      </w:r>
      <w:r w:rsidRPr="00BE6DD1">
        <w:rPr>
          <w:rFonts w:ascii="Arial" w:eastAsia="Calibri" w:hAnsi="Arial" w:cs="Arial"/>
          <w:shd w:val="clear" w:color="auto" w:fill="FFFFFF"/>
          <w:lang w:val="mn-MN"/>
        </w:rPr>
        <w:t xml:space="preserve">12 дугаар зүйлийн 12.4 дэх хэсгийн “Захиргааны хариуцлагын тухай хууль” гэснийг “Зөрчлийн тухай хууль” гэж, </w:t>
      </w:r>
      <w:r w:rsidRPr="00BE6DD1">
        <w:rPr>
          <w:rFonts w:ascii="Arial" w:hAnsi="Arial" w:cs="Arial"/>
          <w:lang w:val="mn-MN"/>
        </w:rPr>
        <w:t xml:space="preserve">16 дугаар зүйлийн 16.2 дахь хэсгийн “бусад шаардлагатай” гэснийг “шаардлага хангасан” гэж, 19 дүгээр зүйлийн 19.7 дахь хэсгийн “ашигт малтмалын асуудал эрхэлсэн төрийн захиргааны байгууллага” гэснийг “геологи, уул уурхайн асуудал эрхэлсэн төрийн захиргааны байгууллага” гэж, </w:t>
      </w:r>
      <w:r w:rsidRPr="00BE6DD1">
        <w:rPr>
          <w:rFonts w:ascii="Arial" w:hAnsi="Arial" w:cs="Arial"/>
          <w:bCs/>
          <w:lang w:val="mn-MN"/>
        </w:rPr>
        <w:t xml:space="preserve">23 дугаар зүйлийн гарчгийн “Тусгай зөвшөөрлийг түдгэлзүүлэх” гэснийг “Тусгай зөвшөөрлийг түдгэлзүүлэх, сэргээх” гэж </w:t>
      </w:r>
      <w:r w:rsidRPr="00BE6DD1">
        <w:rPr>
          <w:rFonts w:ascii="Arial" w:hAnsi="Arial" w:cs="Arial"/>
          <w:shd w:val="clear" w:color="auto" w:fill="FFFFFF"/>
          <w:lang w:val="mn-MN"/>
        </w:rPr>
        <w:t>тус тус өөрчилсүгэй.</w:t>
      </w:r>
    </w:p>
    <w:p w14:paraId="40D6D18C" w14:textId="77777777" w:rsidR="00B37105" w:rsidRPr="00BE6DD1" w:rsidRDefault="00B37105" w:rsidP="00B37105">
      <w:pPr>
        <w:tabs>
          <w:tab w:val="left" w:pos="2552"/>
        </w:tabs>
        <w:contextualSpacing/>
        <w:jc w:val="both"/>
        <w:rPr>
          <w:rFonts w:ascii="Arial" w:hAnsi="Arial" w:cs="Arial"/>
          <w:shd w:val="clear" w:color="auto" w:fill="FFFFFF"/>
          <w:lang w:val="mn-MN"/>
        </w:rPr>
      </w:pPr>
    </w:p>
    <w:p w14:paraId="0C31BD6E" w14:textId="77777777" w:rsidR="00B37105" w:rsidRPr="00BE6DD1" w:rsidRDefault="00B37105" w:rsidP="00B37105">
      <w:pPr>
        <w:tabs>
          <w:tab w:val="left" w:pos="2552"/>
        </w:tabs>
        <w:ind w:firstLine="709"/>
        <w:contextualSpacing/>
        <w:jc w:val="both"/>
        <w:rPr>
          <w:rFonts w:ascii="Arial" w:hAnsi="Arial" w:cs="Arial"/>
          <w:bCs/>
          <w:lang w:val="mn-MN"/>
        </w:rPr>
      </w:pPr>
      <w:r w:rsidRPr="00BE6DD1">
        <w:rPr>
          <w:rFonts w:ascii="Arial" w:hAnsi="Arial" w:cs="Arial"/>
          <w:b/>
          <w:bCs/>
          <w:lang w:val="mn-MN" w:eastAsia="ja-JP"/>
        </w:rPr>
        <w:t>4 дүгээр зүйл.</w:t>
      </w:r>
      <w:r w:rsidRPr="00BE6DD1">
        <w:rPr>
          <w:rFonts w:ascii="Arial" w:hAnsi="Arial" w:cs="Arial"/>
          <w:lang w:val="mn-MN" w:eastAsia="ja-JP"/>
        </w:rPr>
        <w:t>Цөмийн энергийн тухай хуулийн 18 дугаар зүйлийн 18.2, 18.3, 18.4 дэх хэсгийн “хамгийн сайн” гэснийг тус тус</w:t>
      </w:r>
      <w:r w:rsidRPr="00BE6DD1">
        <w:rPr>
          <w:rFonts w:ascii="Arial" w:hAnsi="Arial" w:cs="Arial"/>
          <w:b/>
          <w:bCs/>
          <w:lang w:val="mn-MN" w:eastAsia="ja-JP"/>
        </w:rPr>
        <w:t xml:space="preserve"> </w:t>
      </w:r>
      <w:r w:rsidRPr="00BE6DD1">
        <w:rPr>
          <w:rFonts w:ascii="Arial" w:hAnsi="Arial" w:cs="Arial"/>
          <w:lang w:val="mn-MN" w:eastAsia="ja-JP"/>
        </w:rPr>
        <w:t>хассугай.</w:t>
      </w:r>
    </w:p>
    <w:p w14:paraId="6B3CE912" w14:textId="77777777" w:rsidR="00B37105" w:rsidRPr="00BE6DD1" w:rsidRDefault="00B37105" w:rsidP="00B37105">
      <w:pPr>
        <w:tabs>
          <w:tab w:val="left" w:pos="2552"/>
        </w:tabs>
        <w:ind w:firstLine="709"/>
        <w:contextualSpacing/>
        <w:jc w:val="both"/>
        <w:rPr>
          <w:rFonts w:ascii="Arial" w:eastAsia="Calibri" w:hAnsi="Arial" w:cs="Arial"/>
          <w:b/>
          <w:bCs/>
          <w:lang w:val="mn-MN"/>
        </w:rPr>
      </w:pPr>
    </w:p>
    <w:p w14:paraId="1AC635A7" w14:textId="77777777" w:rsidR="00B37105" w:rsidRPr="00BE6DD1" w:rsidRDefault="00B37105" w:rsidP="00B37105">
      <w:pPr>
        <w:tabs>
          <w:tab w:val="left" w:pos="2552"/>
        </w:tabs>
        <w:ind w:firstLine="709"/>
        <w:contextualSpacing/>
        <w:jc w:val="both"/>
        <w:rPr>
          <w:rFonts w:ascii="Arial" w:hAnsi="Arial" w:cs="Arial"/>
          <w:bCs/>
          <w:lang w:val="mn-MN"/>
        </w:rPr>
      </w:pPr>
      <w:r w:rsidRPr="00BE6DD1">
        <w:rPr>
          <w:rFonts w:ascii="Arial" w:eastAsia="Calibri" w:hAnsi="Arial" w:cs="Arial"/>
          <w:b/>
          <w:bCs/>
          <w:lang w:val="mn-MN"/>
        </w:rPr>
        <w:t>5 дугаар зүйл.</w:t>
      </w:r>
      <w:r w:rsidRPr="00BE6DD1">
        <w:rPr>
          <w:rFonts w:ascii="Arial" w:eastAsia="Calibri" w:hAnsi="Arial" w:cs="Arial"/>
          <w:bCs/>
          <w:lang w:val="mn-MN"/>
        </w:rPr>
        <w:t xml:space="preserve">Цөмийн энергийн тухай хуулийн </w:t>
      </w:r>
      <w:r w:rsidRPr="00BE6DD1">
        <w:rPr>
          <w:rFonts w:ascii="Arial" w:hAnsi="Arial" w:cs="Arial"/>
          <w:lang w:val="mn-MN"/>
        </w:rPr>
        <w:t xml:space="preserve">19 дүгээр зүйлийн 19.3.2 дахь заалтыг, </w:t>
      </w:r>
      <w:r w:rsidRPr="00BE6DD1">
        <w:rPr>
          <w:rFonts w:ascii="Arial" w:hAnsi="Arial" w:cs="Arial"/>
          <w:bCs/>
          <w:lang w:val="mn-MN"/>
        </w:rPr>
        <w:t xml:space="preserve">20 дугаар зүйлийн 20.5, 20.6 дахь хэсгийг, </w:t>
      </w:r>
      <w:r w:rsidRPr="00BE6DD1">
        <w:rPr>
          <w:rFonts w:ascii="Arial" w:hAnsi="Arial" w:cs="Arial"/>
          <w:lang w:val="mn-MN"/>
        </w:rPr>
        <w:t>22 дугаар зүйлийн 22.5.1 дэх заалтыг тус тус хүчингүй болсонд тооцсугай.</w:t>
      </w:r>
    </w:p>
    <w:p w14:paraId="4105008A" w14:textId="77777777" w:rsidR="00B37105" w:rsidRPr="00BE6DD1" w:rsidRDefault="00B37105" w:rsidP="00B37105">
      <w:pPr>
        <w:tabs>
          <w:tab w:val="left" w:pos="2552"/>
        </w:tabs>
        <w:contextualSpacing/>
        <w:jc w:val="both"/>
        <w:rPr>
          <w:rFonts w:ascii="Arial" w:hAnsi="Arial" w:cs="Arial"/>
          <w:lang w:val="mn-MN" w:eastAsia="ja-JP"/>
        </w:rPr>
      </w:pPr>
    </w:p>
    <w:p w14:paraId="77F282CC" w14:textId="77777777" w:rsidR="00B37105" w:rsidRPr="00BE6DD1" w:rsidRDefault="00B37105" w:rsidP="00B37105">
      <w:pPr>
        <w:ind w:firstLine="720"/>
        <w:contextualSpacing/>
        <w:jc w:val="both"/>
        <w:rPr>
          <w:rFonts w:ascii="Arial" w:hAnsi="Arial" w:cs="Arial"/>
          <w:lang w:val="mn-MN"/>
        </w:rPr>
      </w:pPr>
      <w:r w:rsidRPr="00BE6DD1">
        <w:rPr>
          <w:rFonts w:ascii="Arial" w:hAnsi="Arial" w:cs="Arial"/>
          <w:b/>
          <w:bCs/>
          <w:lang w:val="mn-MN"/>
        </w:rPr>
        <w:t>6 дугаар зүйл.</w:t>
      </w:r>
      <w:r w:rsidRPr="00BE6DD1">
        <w:rPr>
          <w:rFonts w:ascii="Arial" w:hAnsi="Arial" w:cs="Arial"/>
          <w:bCs/>
          <w:lang w:val="mn-MN"/>
        </w:rPr>
        <w:t>Энэ хуулийг 2023 оны 01 дүгээр сарын 06-ны өдрөөс эхлэн дагаж мөрдөнө.</w:t>
      </w:r>
    </w:p>
    <w:p w14:paraId="2D90D60E" w14:textId="77777777" w:rsidR="00B37105" w:rsidRPr="00BE6DD1" w:rsidRDefault="00B37105" w:rsidP="00B37105">
      <w:pPr>
        <w:contextualSpacing/>
        <w:jc w:val="both"/>
        <w:rPr>
          <w:rFonts w:ascii="Arial" w:hAnsi="Arial" w:cs="Arial"/>
          <w:lang w:val="mn-MN"/>
        </w:rPr>
      </w:pPr>
    </w:p>
    <w:p w14:paraId="2892855A" w14:textId="77777777" w:rsidR="00364D25" w:rsidRPr="00BE6DD1" w:rsidRDefault="00364D25" w:rsidP="00364D25">
      <w:pPr>
        <w:ind w:firstLine="720"/>
        <w:contextualSpacing/>
        <w:jc w:val="both"/>
        <w:rPr>
          <w:rFonts w:ascii="Arial" w:hAnsi="Arial" w:cs="Arial"/>
          <w:lang w:val="mn-MN"/>
        </w:rPr>
      </w:pPr>
    </w:p>
    <w:p w14:paraId="65FD0339" w14:textId="36719AA4" w:rsidR="001B6454" w:rsidRDefault="001B6454" w:rsidP="005C0EAA">
      <w:pPr>
        <w:contextualSpacing/>
        <w:jc w:val="both"/>
        <w:rPr>
          <w:rFonts w:ascii="Arial" w:hAnsi="Arial" w:cs="Arial"/>
          <w:noProof/>
          <w:sz w:val="23"/>
          <w:szCs w:val="23"/>
          <w:lang w:val="mn-MN"/>
        </w:rPr>
      </w:pPr>
    </w:p>
    <w:p w14:paraId="3F4665DD" w14:textId="77777777" w:rsidR="001B6454" w:rsidRPr="00707BC7" w:rsidRDefault="001B6454" w:rsidP="005C0EAA">
      <w:pPr>
        <w:contextualSpacing/>
        <w:jc w:val="both"/>
        <w:rPr>
          <w:rFonts w:ascii="Arial" w:hAnsi="Arial" w:cs="Arial"/>
          <w:noProof/>
          <w:sz w:val="23"/>
          <w:szCs w:val="23"/>
          <w:lang w:val="mn-MN"/>
        </w:rPr>
      </w:pPr>
    </w:p>
    <w:p w14:paraId="427675E8" w14:textId="77777777" w:rsidR="007813A9" w:rsidRPr="00707BC7" w:rsidRDefault="007813A9" w:rsidP="007813A9">
      <w:pPr>
        <w:ind w:left="720" w:firstLine="720"/>
        <w:contextualSpacing/>
        <w:jc w:val="both"/>
        <w:rPr>
          <w:rFonts w:ascii="Arial" w:hAnsi="Arial" w:cs="Arial"/>
          <w:iCs/>
          <w:sz w:val="23"/>
          <w:szCs w:val="23"/>
          <w:lang w:val="mn-MN"/>
        </w:rPr>
      </w:pPr>
      <w:r w:rsidRPr="00707BC7">
        <w:rPr>
          <w:rFonts w:ascii="Arial" w:hAnsi="Arial" w:cs="Arial"/>
          <w:iCs/>
          <w:sz w:val="23"/>
          <w:szCs w:val="23"/>
          <w:lang w:val="mn-MN"/>
        </w:rPr>
        <w:t xml:space="preserve">МОНГОЛ УЛСЫН </w:t>
      </w:r>
    </w:p>
    <w:p w14:paraId="0686A652" w14:textId="2AF3C6D7" w:rsidR="002C5A57" w:rsidRPr="007813A9" w:rsidRDefault="007813A9" w:rsidP="007813A9">
      <w:pPr>
        <w:ind w:firstLine="720"/>
        <w:contextualSpacing/>
        <w:jc w:val="both"/>
        <w:rPr>
          <w:rFonts w:ascii="Arial" w:hAnsi="Arial" w:cs="Arial"/>
          <w:sz w:val="23"/>
          <w:szCs w:val="23"/>
          <w:lang w:val="mn-MN"/>
        </w:rPr>
      </w:pPr>
      <w:r w:rsidRPr="00707BC7">
        <w:rPr>
          <w:rFonts w:ascii="Arial" w:hAnsi="Arial" w:cs="Arial"/>
          <w:iCs/>
          <w:sz w:val="23"/>
          <w:szCs w:val="23"/>
          <w:lang w:val="mn-MN"/>
        </w:rPr>
        <w:tab/>
        <w:t xml:space="preserve">ИХ ХУРЛЫН ДАРГА </w:t>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t>Г.ЗАНДАНШАТАР</w:t>
      </w:r>
    </w:p>
    <w:sectPr w:rsidR="002C5A57" w:rsidRPr="007813A9"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06385"/>
    <w:rsid w:val="00115D89"/>
    <w:rsid w:val="001169E0"/>
    <w:rsid w:val="00120845"/>
    <w:rsid w:val="001253BD"/>
    <w:rsid w:val="00125B1A"/>
    <w:rsid w:val="00127152"/>
    <w:rsid w:val="001420D1"/>
    <w:rsid w:val="001502C3"/>
    <w:rsid w:val="00150B83"/>
    <w:rsid w:val="00152AA6"/>
    <w:rsid w:val="00153FB5"/>
    <w:rsid w:val="00166E30"/>
    <w:rsid w:val="00170FCD"/>
    <w:rsid w:val="001828D1"/>
    <w:rsid w:val="001914A1"/>
    <w:rsid w:val="00192C4C"/>
    <w:rsid w:val="001956E0"/>
    <w:rsid w:val="00197EC9"/>
    <w:rsid w:val="001A125D"/>
    <w:rsid w:val="001A3EDA"/>
    <w:rsid w:val="001A3EDD"/>
    <w:rsid w:val="001A70BB"/>
    <w:rsid w:val="001B181D"/>
    <w:rsid w:val="001B6454"/>
    <w:rsid w:val="001B7A0F"/>
    <w:rsid w:val="001C5FEA"/>
    <w:rsid w:val="001C7915"/>
    <w:rsid w:val="001D1C24"/>
    <w:rsid w:val="001D38E1"/>
    <w:rsid w:val="001D3C9A"/>
    <w:rsid w:val="001D3CA4"/>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56C2"/>
    <w:rsid w:val="00317A3F"/>
    <w:rsid w:val="00325BCC"/>
    <w:rsid w:val="0032748B"/>
    <w:rsid w:val="00333459"/>
    <w:rsid w:val="00342E02"/>
    <w:rsid w:val="0034319D"/>
    <w:rsid w:val="00345773"/>
    <w:rsid w:val="00357662"/>
    <w:rsid w:val="0036287E"/>
    <w:rsid w:val="00363B23"/>
    <w:rsid w:val="00364D25"/>
    <w:rsid w:val="00367201"/>
    <w:rsid w:val="003678F7"/>
    <w:rsid w:val="003708C5"/>
    <w:rsid w:val="003736E4"/>
    <w:rsid w:val="003766F2"/>
    <w:rsid w:val="00376C77"/>
    <w:rsid w:val="00385B94"/>
    <w:rsid w:val="00386569"/>
    <w:rsid w:val="003865D4"/>
    <w:rsid w:val="0038666B"/>
    <w:rsid w:val="00386A9C"/>
    <w:rsid w:val="00390FB7"/>
    <w:rsid w:val="003925B7"/>
    <w:rsid w:val="00395A9C"/>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22C1"/>
    <w:rsid w:val="00423640"/>
    <w:rsid w:val="004258AF"/>
    <w:rsid w:val="0042641E"/>
    <w:rsid w:val="00431812"/>
    <w:rsid w:val="00433C72"/>
    <w:rsid w:val="0043512E"/>
    <w:rsid w:val="0043608B"/>
    <w:rsid w:val="00446D37"/>
    <w:rsid w:val="00453D59"/>
    <w:rsid w:val="00455141"/>
    <w:rsid w:val="00461E34"/>
    <w:rsid w:val="004626B3"/>
    <w:rsid w:val="00462CA6"/>
    <w:rsid w:val="00473677"/>
    <w:rsid w:val="00473BFA"/>
    <w:rsid w:val="004958E6"/>
    <w:rsid w:val="004A55D9"/>
    <w:rsid w:val="004A777D"/>
    <w:rsid w:val="004B1038"/>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0EAA"/>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56BF0"/>
    <w:rsid w:val="006666E3"/>
    <w:rsid w:val="006712E1"/>
    <w:rsid w:val="0067433C"/>
    <w:rsid w:val="00674A13"/>
    <w:rsid w:val="006775E8"/>
    <w:rsid w:val="0068157F"/>
    <w:rsid w:val="00681F82"/>
    <w:rsid w:val="006850A3"/>
    <w:rsid w:val="00687756"/>
    <w:rsid w:val="00692D9F"/>
    <w:rsid w:val="006A2D4E"/>
    <w:rsid w:val="006A3F1B"/>
    <w:rsid w:val="006A53FF"/>
    <w:rsid w:val="006A601D"/>
    <w:rsid w:val="006A60E2"/>
    <w:rsid w:val="006B2C26"/>
    <w:rsid w:val="006C0566"/>
    <w:rsid w:val="006C1FD1"/>
    <w:rsid w:val="006C5465"/>
    <w:rsid w:val="006D5306"/>
    <w:rsid w:val="006E210F"/>
    <w:rsid w:val="006E41C5"/>
    <w:rsid w:val="006E62CD"/>
    <w:rsid w:val="006E7E97"/>
    <w:rsid w:val="006F1668"/>
    <w:rsid w:val="006F46A4"/>
    <w:rsid w:val="00700D85"/>
    <w:rsid w:val="00701418"/>
    <w:rsid w:val="00703CFD"/>
    <w:rsid w:val="00704994"/>
    <w:rsid w:val="007072F4"/>
    <w:rsid w:val="00707EB3"/>
    <w:rsid w:val="007125B7"/>
    <w:rsid w:val="00713D45"/>
    <w:rsid w:val="00720602"/>
    <w:rsid w:val="00722972"/>
    <w:rsid w:val="00730596"/>
    <w:rsid w:val="00732CC0"/>
    <w:rsid w:val="00743252"/>
    <w:rsid w:val="00747335"/>
    <w:rsid w:val="00754570"/>
    <w:rsid w:val="007552B1"/>
    <w:rsid w:val="0075657C"/>
    <w:rsid w:val="0075682C"/>
    <w:rsid w:val="00765967"/>
    <w:rsid w:val="0076773E"/>
    <w:rsid w:val="00771796"/>
    <w:rsid w:val="0077475B"/>
    <w:rsid w:val="007755F9"/>
    <w:rsid w:val="007803EA"/>
    <w:rsid w:val="007813A9"/>
    <w:rsid w:val="00794A64"/>
    <w:rsid w:val="007A1A9A"/>
    <w:rsid w:val="007A40FC"/>
    <w:rsid w:val="007A6164"/>
    <w:rsid w:val="007A7096"/>
    <w:rsid w:val="007B2DCF"/>
    <w:rsid w:val="007B4BB1"/>
    <w:rsid w:val="007B5C4F"/>
    <w:rsid w:val="007C6CF1"/>
    <w:rsid w:val="007D1CB1"/>
    <w:rsid w:val="007D249A"/>
    <w:rsid w:val="007D4024"/>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5974"/>
    <w:rsid w:val="008266B1"/>
    <w:rsid w:val="00831B9F"/>
    <w:rsid w:val="00833E2E"/>
    <w:rsid w:val="008342C4"/>
    <w:rsid w:val="00844F7A"/>
    <w:rsid w:val="00852C24"/>
    <w:rsid w:val="00860B49"/>
    <w:rsid w:val="0086115F"/>
    <w:rsid w:val="00861DA3"/>
    <w:rsid w:val="00862EB4"/>
    <w:rsid w:val="00867516"/>
    <w:rsid w:val="0086771C"/>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B48CC"/>
    <w:rsid w:val="008C4541"/>
    <w:rsid w:val="008C4BA0"/>
    <w:rsid w:val="008C5215"/>
    <w:rsid w:val="008C5E91"/>
    <w:rsid w:val="008C75BB"/>
    <w:rsid w:val="008D5906"/>
    <w:rsid w:val="008E217F"/>
    <w:rsid w:val="008E28EB"/>
    <w:rsid w:val="008F3719"/>
    <w:rsid w:val="008F762A"/>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1C6"/>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5422"/>
    <w:rsid w:val="00A46450"/>
    <w:rsid w:val="00A54ED0"/>
    <w:rsid w:val="00A5755E"/>
    <w:rsid w:val="00A57800"/>
    <w:rsid w:val="00A64F46"/>
    <w:rsid w:val="00A7117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107A"/>
    <w:rsid w:val="00AD33D1"/>
    <w:rsid w:val="00AD5A30"/>
    <w:rsid w:val="00AD657A"/>
    <w:rsid w:val="00AE055C"/>
    <w:rsid w:val="00AE07D7"/>
    <w:rsid w:val="00AE7858"/>
    <w:rsid w:val="00AF022B"/>
    <w:rsid w:val="00AF2BD0"/>
    <w:rsid w:val="00AF71A0"/>
    <w:rsid w:val="00B00546"/>
    <w:rsid w:val="00B00945"/>
    <w:rsid w:val="00B01A1E"/>
    <w:rsid w:val="00B03B91"/>
    <w:rsid w:val="00B21A57"/>
    <w:rsid w:val="00B21A5F"/>
    <w:rsid w:val="00B23459"/>
    <w:rsid w:val="00B25419"/>
    <w:rsid w:val="00B26B59"/>
    <w:rsid w:val="00B32A0D"/>
    <w:rsid w:val="00B338BD"/>
    <w:rsid w:val="00B37105"/>
    <w:rsid w:val="00B42857"/>
    <w:rsid w:val="00B44301"/>
    <w:rsid w:val="00B46B9C"/>
    <w:rsid w:val="00B46FB0"/>
    <w:rsid w:val="00B47E5B"/>
    <w:rsid w:val="00B50DCC"/>
    <w:rsid w:val="00B54517"/>
    <w:rsid w:val="00B600BE"/>
    <w:rsid w:val="00B6047C"/>
    <w:rsid w:val="00B652DD"/>
    <w:rsid w:val="00B665BF"/>
    <w:rsid w:val="00B7271C"/>
    <w:rsid w:val="00B73BDC"/>
    <w:rsid w:val="00B74110"/>
    <w:rsid w:val="00B77199"/>
    <w:rsid w:val="00B81477"/>
    <w:rsid w:val="00B83F95"/>
    <w:rsid w:val="00B843C3"/>
    <w:rsid w:val="00B87887"/>
    <w:rsid w:val="00B95713"/>
    <w:rsid w:val="00B96DEB"/>
    <w:rsid w:val="00B973CA"/>
    <w:rsid w:val="00BA425F"/>
    <w:rsid w:val="00BA7E53"/>
    <w:rsid w:val="00BA7EAC"/>
    <w:rsid w:val="00BB0AB0"/>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4786"/>
    <w:rsid w:val="00C76847"/>
    <w:rsid w:val="00C84D85"/>
    <w:rsid w:val="00C96546"/>
    <w:rsid w:val="00C96948"/>
    <w:rsid w:val="00CA0758"/>
    <w:rsid w:val="00CA3B95"/>
    <w:rsid w:val="00CA5E39"/>
    <w:rsid w:val="00CB03E1"/>
    <w:rsid w:val="00CB298C"/>
    <w:rsid w:val="00CC2727"/>
    <w:rsid w:val="00CC2770"/>
    <w:rsid w:val="00CC46BE"/>
    <w:rsid w:val="00CC5537"/>
    <w:rsid w:val="00CC5C5F"/>
    <w:rsid w:val="00CC6CB5"/>
    <w:rsid w:val="00CE135B"/>
    <w:rsid w:val="00CF0F5B"/>
    <w:rsid w:val="00CF7088"/>
    <w:rsid w:val="00D00960"/>
    <w:rsid w:val="00D0271E"/>
    <w:rsid w:val="00D03B32"/>
    <w:rsid w:val="00D040D9"/>
    <w:rsid w:val="00D113F3"/>
    <w:rsid w:val="00D14C8C"/>
    <w:rsid w:val="00D1681A"/>
    <w:rsid w:val="00D2286A"/>
    <w:rsid w:val="00D264EC"/>
    <w:rsid w:val="00D35411"/>
    <w:rsid w:val="00D36B59"/>
    <w:rsid w:val="00D46EAC"/>
    <w:rsid w:val="00D47D68"/>
    <w:rsid w:val="00D51138"/>
    <w:rsid w:val="00D55F4A"/>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DF71E5"/>
    <w:rsid w:val="00E0076A"/>
    <w:rsid w:val="00E01E8C"/>
    <w:rsid w:val="00E02894"/>
    <w:rsid w:val="00E0724E"/>
    <w:rsid w:val="00E134A5"/>
    <w:rsid w:val="00E14164"/>
    <w:rsid w:val="00E15A63"/>
    <w:rsid w:val="00E1736A"/>
    <w:rsid w:val="00E17F5C"/>
    <w:rsid w:val="00E22B55"/>
    <w:rsid w:val="00E3512D"/>
    <w:rsid w:val="00E36B2B"/>
    <w:rsid w:val="00E37D76"/>
    <w:rsid w:val="00E42A6F"/>
    <w:rsid w:val="00E442DE"/>
    <w:rsid w:val="00E453B9"/>
    <w:rsid w:val="00E528B8"/>
    <w:rsid w:val="00E52E10"/>
    <w:rsid w:val="00E55FF7"/>
    <w:rsid w:val="00E64728"/>
    <w:rsid w:val="00E663D6"/>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B7E13"/>
    <w:rsid w:val="00ED2780"/>
    <w:rsid w:val="00EE4E12"/>
    <w:rsid w:val="00EE51F3"/>
    <w:rsid w:val="00EF00BE"/>
    <w:rsid w:val="00EF1758"/>
    <w:rsid w:val="00EF29B6"/>
    <w:rsid w:val="00EF42E2"/>
    <w:rsid w:val="00EF480C"/>
    <w:rsid w:val="00EF5F3A"/>
    <w:rsid w:val="00F02AC3"/>
    <w:rsid w:val="00F05726"/>
    <w:rsid w:val="00F1278D"/>
    <w:rsid w:val="00F12E6B"/>
    <w:rsid w:val="00F13F0A"/>
    <w:rsid w:val="00F24D32"/>
    <w:rsid w:val="00F33F4B"/>
    <w:rsid w:val="00F40E25"/>
    <w:rsid w:val="00F44FA7"/>
    <w:rsid w:val="00F45AA0"/>
    <w:rsid w:val="00F5087B"/>
    <w:rsid w:val="00F52BA5"/>
    <w:rsid w:val="00F53350"/>
    <w:rsid w:val="00F55DEC"/>
    <w:rsid w:val="00F5784B"/>
    <w:rsid w:val="00F627C2"/>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475D"/>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 w:type="character" w:customStyle="1" w:styleId="BodyText2Char">
    <w:name w:val="Body Text 2 Char"/>
    <w:basedOn w:val="DefaultParagraphFont"/>
    <w:link w:val="BodyText21"/>
    <w:rsid w:val="00F13F0A"/>
    <w:rPr>
      <w:rFonts w:ascii="Arial Mon" w:eastAsia="Times New Roman" w:hAnsi="Arial Mon" w:cs="Times New Roman"/>
      <w:szCs w:val="20"/>
    </w:rPr>
  </w:style>
  <w:style w:type="paragraph" w:styleId="BodyText21">
    <w:name w:val="Body Text 2"/>
    <w:basedOn w:val="Normal"/>
    <w:link w:val="BodyText2Char"/>
    <w:rsid w:val="00F13F0A"/>
    <w:rPr>
      <w:rFonts w:ascii="Arial Mon" w:hAnsi="Arial Mon"/>
      <w:szCs w:val="20"/>
    </w:rPr>
  </w:style>
  <w:style w:type="character" w:customStyle="1" w:styleId="BodyText2Char1">
    <w:name w:val="Body Text 2 Char1"/>
    <w:basedOn w:val="DefaultParagraphFont"/>
    <w:uiPriority w:val="99"/>
    <w:semiHidden/>
    <w:rsid w:val="00F13F0A"/>
    <w:rPr>
      <w:rFonts w:ascii="Times New Roman" w:eastAsia="Times New Roman" w:hAnsi="Times New Roman" w:cs="Times New Roman"/>
    </w:rPr>
  </w:style>
  <w:style w:type="character" w:customStyle="1" w:styleId="normaltextrun">
    <w:name w:val="normaltextrun"/>
    <w:basedOn w:val="DefaultParagraphFont"/>
    <w:rsid w:val="005C0EAA"/>
  </w:style>
  <w:style w:type="paragraph" w:customStyle="1" w:styleId="paragraph0">
    <w:name w:val="paragraph"/>
    <w:basedOn w:val="Normal"/>
    <w:rsid w:val="005C0EAA"/>
    <w:pPr>
      <w:spacing w:before="100" w:beforeAutospacing="1" w:after="100" w:afterAutospacing="1"/>
    </w:pPr>
  </w:style>
  <w:style w:type="character" w:customStyle="1" w:styleId="eop">
    <w:name w:val="eop"/>
    <w:basedOn w:val="DefaultParagraphFont"/>
    <w:rsid w:val="005C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2023-02-06T07:44:00Z</cp:lastPrinted>
  <dcterms:created xsi:type="dcterms:W3CDTF">2023-02-06T08:06:00Z</dcterms:created>
  <dcterms:modified xsi:type="dcterms:W3CDTF">2023-02-06T08:06:00Z</dcterms:modified>
</cp:coreProperties>
</file>