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type="dxa" w:w="-118"/>
        <w:tblBorders/>
      </w:tblPr>
      <w:tblGrid>
        <w:gridCol w:w="2028"/>
        <w:gridCol w:w="1745"/>
        <w:gridCol w:w="2035"/>
        <w:gridCol w:w="1941"/>
        <w:gridCol w:w="1872"/>
      </w:tblGrid>
      <w:tr>
        <w:trPr>
          <w:cantSplit w:val="true"/>
        </w:trPr>
        <w:tc>
          <w:tcPr>
            <w:tcW w:type="dxa" w:w="2028"/>
            <w:tcBorders/>
            <w:shd w:fill="FFFFFF" w:val="clear"/>
            <w:tcMar>
              <w:top w:type="dxa" w:w="0"/>
              <w:left w:type="dxa" w:w="10"/>
              <w:bottom w:type="dxa" w:w="0"/>
              <w:right w:type="dxa" w:w="10"/>
            </w:tcMar>
          </w:tcPr>
          <w:p>
            <w:pPr>
              <w:pStyle w:val="style0"/>
              <w:tabs>
                <w:tab w:leader="none" w:pos="2694" w:val="left"/>
              </w:tabs>
              <w:jc w:val="center"/>
            </w:pPr>
            <w:r>
              <w:rPr/>
              <w:drawing>
                <wp:inline distB="0" distL="0" distR="0" distT="0">
                  <wp:extent cx="800100" cy="8667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800100" cy="866775"/>
                          </a:xfrm>
                          <a:prstGeom prst="rect">
                            <a:avLst/>
                          </a:prstGeom>
                          <a:noFill/>
                          <a:ln w="9525">
                            <a:noFill/>
                            <a:miter lim="800000"/>
                            <a:headEnd/>
                            <a:tailEnd/>
                          </a:ln>
                        </pic:spPr>
                      </pic:pic>
                    </a:graphicData>
                  </a:graphic>
                </wp:inline>
              </w:drawing>
            </w:r>
          </w:p>
        </w:tc>
        <w:tc>
          <w:tcPr>
            <w:tcW w:type="dxa" w:w="1745"/>
            <w:tcBorders/>
            <w:shd w:fill="auto" w:val="clear"/>
            <w:tcMar>
              <w:top w:type="dxa" w:w="0"/>
              <w:left w:type="dxa" w:w="10"/>
              <w:bottom w:type="dxa" w:w="0"/>
              <w:right w:type="dxa" w:w="10"/>
            </w:tcMar>
          </w:tcPr>
          <w:p>
            <w:pPr>
              <w:pStyle w:val="style0"/>
              <w:tabs>
                <w:tab w:leader="none" w:pos="2694" w:val="left"/>
              </w:tabs>
              <w:jc w:val="center"/>
            </w:pPr>
            <w:r>
              <w:rPr/>
              <w:drawing>
                <wp:inline distB="0" distL="0" distR="0" distT="0">
                  <wp:extent cx="944245" cy="8667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944245" cy="866775"/>
                          </a:xfrm>
                          <a:prstGeom prst="rect">
                            <a:avLst/>
                          </a:prstGeom>
                          <a:noFill/>
                          <a:ln w="9525">
                            <a:noFill/>
                            <a:miter lim="800000"/>
                            <a:headEnd/>
                            <a:tailEnd/>
                          </a:ln>
                        </pic:spPr>
                      </pic:pic>
                    </a:graphicData>
                  </a:graphic>
                </wp:inline>
              </w:drawing>
            </w:r>
          </w:p>
        </w:tc>
        <w:tc>
          <w:tcPr>
            <w:tcW w:type="dxa" w:w="2035"/>
            <w:tcBorders/>
            <w:shd w:fill="FFFFFF" w:val="clear"/>
            <w:tcMar>
              <w:top w:type="dxa" w:w="0"/>
              <w:left w:type="dxa" w:w="10"/>
              <w:bottom w:type="dxa" w:w="0"/>
              <w:right w:type="dxa" w:w="10"/>
            </w:tcMar>
          </w:tcPr>
          <w:p>
            <w:pPr>
              <w:pStyle w:val="style0"/>
              <w:tabs>
                <w:tab w:leader="none" w:pos="2694" w:val="left"/>
              </w:tabs>
              <w:jc w:val="center"/>
            </w:pPr>
            <w:r>
              <w:rPr/>
              <w:drawing>
                <wp:inline distB="0" distL="0" distR="0" distT="0">
                  <wp:extent cx="843280" cy="83947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843280" cy="839470"/>
                          </a:xfrm>
                          <a:prstGeom prst="rect">
                            <a:avLst/>
                          </a:prstGeom>
                          <a:noFill/>
                          <a:ln w="9525">
                            <a:noFill/>
                            <a:miter lim="800000"/>
                            <a:headEnd/>
                            <a:tailEnd/>
                          </a:ln>
                        </pic:spPr>
                      </pic:pic>
                    </a:graphicData>
                  </a:graphic>
                </wp:inline>
              </w:drawing>
            </w:r>
          </w:p>
        </w:tc>
        <w:tc>
          <w:tcPr>
            <w:tcW w:type="dxa" w:w="1941"/>
            <w:tcBorders/>
            <w:shd w:fill="FFFFFF" w:val="clear"/>
            <w:tcMar>
              <w:top w:type="dxa" w:w="0"/>
              <w:left w:type="dxa" w:w="10"/>
              <w:bottom w:type="dxa" w:w="0"/>
              <w:right w:type="dxa" w:w="10"/>
            </w:tcMar>
          </w:tcPr>
          <w:p>
            <w:pPr>
              <w:pStyle w:val="style0"/>
              <w:tabs>
                <w:tab w:leader="none" w:pos="2694" w:val="left"/>
              </w:tabs>
              <w:jc w:val="center"/>
            </w:pPr>
            <w:r>
              <w:rPr/>
              <w:drawing>
                <wp:inline distB="0" distL="0" distR="0" distT="0">
                  <wp:extent cx="467360" cy="84899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467360" cy="848995"/>
                          </a:xfrm>
                          <a:prstGeom prst="rect">
                            <a:avLst/>
                          </a:prstGeom>
                          <a:noFill/>
                          <a:ln w="9525">
                            <a:noFill/>
                            <a:miter lim="800000"/>
                            <a:headEnd/>
                            <a:tailEnd/>
                          </a:ln>
                        </pic:spPr>
                      </pic:pic>
                    </a:graphicData>
                  </a:graphic>
                </wp:inline>
              </w:drawing>
            </w:r>
          </w:p>
        </w:tc>
        <w:tc>
          <w:tcPr>
            <w:tcW w:type="dxa" w:w="1872"/>
            <w:tcBorders/>
            <w:shd w:fill="FFFFFF" w:val="clear"/>
            <w:tcMar>
              <w:top w:type="dxa" w:w="0"/>
              <w:left w:type="dxa" w:w="10"/>
              <w:bottom w:type="dxa" w:w="0"/>
              <w:right w:type="dxa" w:w="10"/>
            </w:tcMar>
          </w:tcPr>
          <w:p>
            <w:pPr>
              <w:pStyle w:val="style0"/>
              <w:tabs>
                <w:tab w:leader="none" w:pos="2694" w:val="left"/>
              </w:tabs>
              <w:jc w:val="center"/>
            </w:pPr>
            <w:r>
              <w:rPr/>
              <w:drawing>
                <wp:inline distB="0" distL="0" distR="0" distT="0">
                  <wp:extent cx="486410" cy="7575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486410" cy="757555"/>
                          </a:xfrm>
                          <a:prstGeom prst="rect">
                            <a:avLst/>
                          </a:prstGeom>
                          <a:noFill/>
                          <a:ln w="9525">
                            <a:noFill/>
                            <a:miter lim="800000"/>
                            <a:headEnd/>
                            <a:tailEnd/>
                          </a:ln>
                        </pic:spPr>
                      </pic:pic>
                    </a:graphicData>
                  </a:graphic>
                </wp:inline>
              </w:drawing>
            </w:r>
          </w:p>
        </w:tc>
      </w:tr>
      <w:tr>
        <w:trPr>
          <w:cantSplit w:val="true"/>
        </w:trPr>
        <w:tc>
          <w:tcPr>
            <w:tcW w:type="dxa" w:w="2028"/>
            <w:tcBorders/>
            <w:shd w:fill="FFFFFF" w:val="clear"/>
            <w:tcMar>
              <w:top w:type="dxa" w:w="0"/>
              <w:left w:type="dxa" w:w="10"/>
              <w:bottom w:type="dxa" w:w="0"/>
              <w:right w:type="dxa" w:w="10"/>
            </w:tcMar>
            <w:vAlign w:val="center"/>
          </w:tcPr>
          <w:p>
            <w:pPr>
              <w:pStyle w:val="style0"/>
              <w:tabs>
                <w:tab w:leader="none" w:pos="2694" w:val="left"/>
              </w:tabs>
              <w:spacing w:after="0" w:before="0"/>
              <w:jc w:val="center"/>
            </w:pPr>
            <w:r>
              <w:rPr>
                <w:rFonts w:ascii="Times New Roman" w:cs="Times New Roman" w:hAnsi="Times New Roman"/>
                <w:bCs/>
                <w:color w:val="000000"/>
                <w:sz w:val="20"/>
                <w:lang w:val="mn-MN"/>
              </w:rPr>
              <w:t>МОНГОЛ УЛСЫН ИХ ХУРЛЫН ХУУЛЬ ЗҮЙН БАЙНГЫН ХОРОО</w:t>
            </w:r>
          </w:p>
        </w:tc>
        <w:tc>
          <w:tcPr>
            <w:tcW w:type="dxa" w:w="1745"/>
            <w:tcBorders/>
            <w:shd w:fill="auto" w:val="clear"/>
            <w:tcMar>
              <w:top w:type="dxa" w:w="0"/>
              <w:left w:type="dxa" w:w="10"/>
              <w:bottom w:type="dxa" w:w="0"/>
              <w:right w:type="dxa" w:w="10"/>
            </w:tcMar>
            <w:vAlign w:val="center"/>
          </w:tcPr>
          <w:p>
            <w:pPr>
              <w:pStyle w:val="style0"/>
              <w:tabs>
                <w:tab w:leader="none" w:pos="2694" w:val="left"/>
              </w:tabs>
              <w:jc w:val="center"/>
            </w:pPr>
            <w:r>
              <w:rPr>
                <w:rFonts w:ascii="Times New Roman" w:cs="Times New Roman" w:hAnsi="Times New Roman"/>
                <w:bCs/>
                <w:color w:val="000000"/>
                <w:sz w:val="20"/>
                <w:lang w:val="mn-MN"/>
              </w:rPr>
              <w:t>ХУУЛЬ ЗҮЙН ЯАМ</w:t>
            </w:r>
          </w:p>
        </w:tc>
        <w:tc>
          <w:tcPr>
            <w:tcW w:type="dxa" w:w="2035"/>
            <w:tcBorders/>
            <w:shd w:fill="FFFFFF" w:val="clear"/>
            <w:tcMar>
              <w:top w:type="dxa" w:w="0"/>
              <w:left w:type="dxa" w:w="10"/>
              <w:bottom w:type="dxa" w:w="0"/>
              <w:right w:type="dxa" w:w="10"/>
            </w:tcMar>
            <w:vAlign w:val="center"/>
          </w:tcPr>
          <w:p>
            <w:pPr>
              <w:pStyle w:val="style0"/>
              <w:tabs>
                <w:tab w:leader="none" w:pos="2694" w:val="left"/>
              </w:tabs>
              <w:jc w:val="center"/>
            </w:pPr>
            <w:r>
              <w:rPr>
                <w:rFonts w:ascii="Times New Roman" w:cs="Times New Roman" w:hAnsi="Times New Roman"/>
                <w:bCs/>
                <w:color w:val="000000"/>
                <w:sz w:val="20"/>
                <w:lang w:val="mn-MN"/>
              </w:rPr>
              <w:t>ХУУЛЬ САХИУЛАХЫН ИХ СУРГУУЛЬ</w:t>
            </w:r>
          </w:p>
        </w:tc>
        <w:tc>
          <w:tcPr>
            <w:tcW w:type="dxa" w:w="1941"/>
            <w:tcBorders/>
            <w:shd w:fill="FFFFFF" w:val="clear"/>
            <w:tcMar>
              <w:top w:type="dxa" w:w="0"/>
              <w:left w:type="dxa" w:w="10"/>
              <w:bottom w:type="dxa" w:w="0"/>
              <w:right w:type="dxa" w:w="10"/>
            </w:tcMar>
            <w:vAlign w:val="center"/>
          </w:tcPr>
          <w:p>
            <w:pPr>
              <w:pStyle w:val="style0"/>
              <w:tabs>
                <w:tab w:leader="none" w:pos="2694" w:val="left"/>
              </w:tabs>
              <w:jc w:val="center"/>
            </w:pPr>
            <w:r>
              <w:rPr>
                <w:rFonts w:ascii="Times New Roman" w:cs="Times New Roman" w:hAnsi="Times New Roman"/>
                <w:bCs/>
                <w:color w:val="000000"/>
                <w:sz w:val="20"/>
                <w:lang w:val="mn-MN"/>
              </w:rPr>
              <w:t>ХБНГУ-ЫН ХАННС-ЗАЙДЕЛИЙН САН</w:t>
            </w:r>
          </w:p>
        </w:tc>
        <w:tc>
          <w:tcPr>
            <w:tcW w:type="dxa" w:w="1872"/>
            <w:tcBorders/>
            <w:shd w:fill="FFFFFF" w:val="clear"/>
            <w:tcMar>
              <w:top w:type="dxa" w:w="0"/>
              <w:left w:type="dxa" w:w="10"/>
              <w:bottom w:type="dxa" w:w="0"/>
              <w:right w:type="dxa" w:w="10"/>
            </w:tcMar>
            <w:vAlign w:val="center"/>
          </w:tcPr>
          <w:p>
            <w:pPr>
              <w:pStyle w:val="style0"/>
              <w:tabs>
                <w:tab w:leader="none" w:pos="2694" w:val="left"/>
              </w:tabs>
              <w:jc w:val="center"/>
            </w:pPr>
            <w:r>
              <w:rPr>
                <w:rFonts w:ascii="Times New Roman" w:cs="Times New Roman" w:hAnsi="Times New Roman"/>
                <w:bCs/>
                <w:color w:val="000000"/>
                <w:sz w:val="20"/>
                <w:lang w:val="mn-MN"/>
              </w:rPr>
              <w:t>НЭЭЛТТЭЙ НИЙГЭМ ФОРУМ</w:t>
            </w:r>
          </w:p>
        </w:tc>
      </w:tr>
    </w:tbl>
    <w:p>
      <w:pPr>
        <w:pStyle w:val="style0"/>
        <w:spacing w:after="0" w:before="0" w:line="100" w:lineRule="atLeast"/>
      </w:pPr>
      <w:r>
        <w:rPr>
          <w:rFonts w:ascii="Times New Roman" w:cs="Times New Roman" w:eastAsia="Times New Roman" w:hAnsi="Times New Roman"/>
          <w:b/>
          <w:color w:val="FF0000"/>
          <w:sz w:val="24"/>
          <w:szCs w:val="24"/>
        </w:rPr>
      </w:r>
    </w:p>
    <w:p>
      <w:pPr>
        <w:pStyle w:val="style0"/>
        <w:spacing w:after="0" w:before="0" w:line="100" w:lineRule="atLeast"/>
        <w:jc w:val="center"/>
      </w:pPr>
      <w:r>
        <w:rPr>
          <w:rFonts w:ascii="Times New Roman" w:cs="Times New Roman" w:eastAsia="Times New Roman" w:hAnsi="Times New Roman"/>
          <w:b/>
          <w:color w:val="002060"/>
          <w:sz w:val="24"/>
          <w:szCs w:val="24"/>
        </w:rPr>
        <w:t>“</w:t>
      </w:r>
      <w:r>
        <w:rPr>
          <w:rFonts w:ascii="Times New Roman" w:cs="Times New Roman" w:eastAsia="Times New Roman" w:hAnsi="Times New Roman"/>
          <w:b/>
          <w:color w:val="002060"/>
          <w:sz w:val="24"/>
          <w:szCs w:val="24"/>
          <w:lang w:val="mn-MN"/>
        </w:rPr>
        <w:t>Х</w:t>
      </w:r>
      <w:r>
        <w:rPr>
          <w:rFonts w:ascii="Times New Roman" w:cs="Times New Roman" w:eastAsia="Times New Roman" w:hAnsi="Times New Roman"/>
          <w:b/>
          <w:color w:val="002060"/>
          <w:sz w:val="24"/>
          <w:szCs w:val="24"/>
        </w:rPr>
        <w:t>ууль сахиулахуйн инноваци”</w:t>
      </w:r>
      <w:r>
        <w:rPr>
          <w:rFonts w:ascii="Times New Roman" w:cs="Times New Roman" w:eastAsia="Times New Roman" w:hAnsi="Times New Roman"/>
          <w:color w:val="002060"/>
          <w:sz w:val="24"/>
          <w:szCs w:val="24"/>
        </w:rPr>
        <w:t xml:space="preserve"> </w:t>
      </w:r>
      <w:r>
        <w:rPr>
          <w:rFonts w:ascii="Times New Roman" w:cs="Times New Roman" w:eastAsia="Times New Roman" w:hAnsi="Times New Roman"/>
          <w:color w:val="002060"/>
          <w:sz w:val="24"/>
          <w:szCs w:val="24"/>
          <w:lang w:val="mn-MN"/>
        </w:rPr>
        <w:t>ОУЭШХ-ын</w:t>
      </w:r>
      <w:r>
        <w:rPr>
          <w:rFonts w:ascii="Times New Roman" w:cs="Times New Roman" w:eastAsia="Times New Roman" w:hAnsi="Times New Roman"/>
          <w:color w:val="002060"/>
          <w:sz w:val="24"/>
          <w:szCs w:val="24"/>
        </w:rPr>
        <w:t xml:space="preserve"> </w:t>
      </w:r>
      <w:r>
        <w:rPr>
          <w:rFonts w:ascii="Times New Roman" w:cs="Times New Roman" w:eastAsia="Times New Roman" w:hAnsi="Times New Roman"/>
          <w:color w:val="C00000"/>
          <w:sz w:val="24"/>
          <w:szCs w:val="24"/>
          <w:lang w:val="mn-MN"/>
        </w:rPr>
        <w:t>Эмхэтгэл-</w:t>
      </w:r>
      <w:r>
        <w:rPr>
          <w:rFonts w:ascii="Times New Roman" w:cs="Times New Roman" w:eastAsia="Times New Roman" w:hAnsi="Times New Roman"/>
          <w:color w:val="C00000"/>
          <w:sz w:val="24"/>
          <w:szCs w:val="24"/>
        </w:rPr>
        <w:t>II-</w:t>
      </w:r>
      <w:r>
        <w:rPr>
          <w:rFonts w:ascii="Times New Roman" w:cs="Times New Roman" w:eastAsia="Times New Roman" w:hAnsi="Times New Roman"/>
          <w:color w:val="C00000"/>
          <w:sz w:val="24"/>
          <w:szCs w:val="24"/>
          <w:lang w:val="mn-MN"/>
        </w:rPr>
        <w:t xml:space="preserve">д илтгэл, </w:t>
      </w:r>
    </w:p>
    <w:p>
      <w:pPr>
        <w:pStyle w:val="style0"/>
        <w:spacing w:after="0" w:before="0" w:line="100" w:lineRule="atLeast"/>
        <w:jc w:val="center"/>
      </w:pPr>
      <w:r>
        <w:rPr>
          <w:rFonts w:ascii="Times New Roman" w:cs="Times New Roman" w:eastAsia="Times New Roman" w:hAnsi="Times New Roman"/>
          <w:color w:val="C00000"/>
          <w:sz w:val="24"/>
          <w:szCs w:val="24"/>
          <w:lang w:val="mn-MN"/>
        </w:rPr>
        <w:t xml:space="preserve">хурлаас гарах зөвлөмжид саналаа ирүүлэх </w:t>
      </w:r>
      <w:r>
        <w:rPr>
          <w:rFonts w:ascii="Times New Roman" w:cs="Times New Roman" w:eastAsia="Times New Roman" w:hAnsi="Times New Roman"/>
          <w:color w:val="002060"/>
          <w:sz w:val="24"/>
          <w:szCs w:val="24"/>
          <w:lang w:val="mn-MN"/>
        </w:rPr>
        <w:t>боломжтой.</w:t>
      </w:r>
    </w:p>
    <w:p>
      <w:pPr>
        <w:pStyle w:val="style0"/>
        <w:spacing w:after="0" w:before="0" w:line="100" w:lineRule="atLeast"/>
        <w:jc w:val="center"/>
      </w:pPr>
      <w:r>
        <w:rPr>
          <w:rFonts w:ascii="Times New Roman" w:cs="Times New Roman" w:eastAsia="Times New Roman" w:hAnsi="Times New Roman"/>
          <w:sz w:val="24"/>
          <w:szCs w:val="24"/>
          <w:lang w:val="mn-MN"/>
        </w:rPr>
      </w:r>
    </w:p>
    <w:p>
      <w:pPr>
        <w:pStyle w:val="style0"/>
        <w:spacing w:after="120" w:before="0" w:line="100" w:lineRule="atLeast"/>
        <w:ind w:firstLine="720" w:left="0" w:right="0"/>
        <w:jc w:val="both"/>
      </w:pPr>
      <w:r>
        <w:rPr>
          <w:rFonts w:ascii="Times New Roman" w:cs="Times New Roman" w:eastAsia="Times New Roman" w:hAnsi="Times New Roman"/>
          <w:sz w:val="24"/>
          <w:szCs w:val="24"/>
          <w:lang w:val="mn-MN"/>
        </w:rPr>
        <w:t xml:space="preserve">Монгол Улсын Их Хурлын Хууль зүйн байнгын хороо, </w:t>
      </w:r>
      <w:r>
        <w:rPr>
          <w:rFonts w:ascii="Times New Roman" w:cs="Times New Roman" w:eastAsia="Times New Roman" w:hAnsi="Times New Roman"/>
          <w:sz w:val="24"/>
          <w:szCs w:val="24"/>
        </w:rPr>
        <w:t xml:space="preserve">Хууль зүйн яам, </w:t>
      </w:r>
      <w:r>
        <w:rPr>
          <w:rFonts w:ascii="Times New Roman" w:cs="Times New Roman" w:eastAsia="Times New Roman" w:hAnsi="Times New Roman"/>
          <w:sz w:val="24"/>
          <w:szCs w:val="24"/>
          <w:lang w:val="mn-MN"/>
        </w:rPr>
        <w:t xml:space="preserve">Хууль сахиулахын их сургууль, </w:t>
      </w:r>
      <w:r>
        <w:rPr>
          <w:rFonts w:ascii="Times New Roman" w:cs="Times New Roman" w:eastAsia="Times New Roman" w:hAnsi="Times New Roman"/>
          <w:sz w:val="24"/>
          <w:szCs w:val="24"/>
        </w:rPr>
        <w:t>ХБНГУ-ын Ханнс-Зайдел</w:t>
      </w:r>
      <w:r>
        <w:rPr>
          <w:rFonts w:ascii="Times New Roman" w:cs="Times New Roman" w:eastAsia="Times New Roman" w:hAnsi="Times New Roman"/>
          <w:sz w:val="24"/>
          <w:szCs w:val="24"/>
          <w:lang w:val="mn-MN"/>
        </w:rPr>
        <w:t xml:space="preserve">ийн </w:t>
      </w:r>
      <w:r>
        <w:rPr>
          <w:rFonts w:ascii="Times New Roman" w:cs="Times New Roman" w:eastAsia="Times New Roman" w:hAnsi="Times New Roman"/>
          <w:sz w:val="24"/>
          <w:szCs w:val="24"/>
        </w:rPr>
        <w:t>сан</w:t>
      </w:r>
      <w:r>
        <w:rPr>
          <w:rFonts w:ascii="Times New Roman" w:cs="Times New Roman" w:eastAsia="Times New Roman" w:hAnsi="Times New Roman"/>
          <w:sz w:val="24"/>
          <w:szCs w:val="24"/>
          <w:lang w:val="mn-MN"/>
        </w:rPr>
        <w:t xml:space="preserve">, Нээлттэй нийгэм форумаас </w:t>
      </w:r>
      <w:r>
        <w:rPr>
          <w:rFonts w:ascii="Times New Roman" w:cs="Times New Roman" w:eastAsia="Times New Roman" w:hAnsi="Times New Roman"/>
          <w:sz w:val="24"/>
          <w:szCs w:val="24"/>
        </w:rPr>
        <w:t>2014 оны 10 дугаар сарын 8-нд Төрийн орд</w:t>
      </w:r>
      <w:r>
        <w:rPr>
          <w:rFonts w:ascii="Times New Roman" w:cs="Times New Roman" w:eastAsia="Times New Roman" w:hAnsi="Times New Roman"/>
          <w:sz w:val="24"/>
          <w:szCs w:val="24"/>
          <w:lang w:val="mn-MN"/>
        </w:rPr>
        <w:t xml:space="preserve">онд </w:t>
      </w:r>
      <w:r>
        <w:rPr>
          <w:rFonts w:ascii="Times New Roman" w:cs="Times New Roman" w:eastAsia="Times New Roman" w:hAnsi="Times New Roman"/>
          <w:sz w:val="24"/>
          <w:szCs w:val="24"/>
        </w:rPr>
        <w:t>хамтран зохион байгуулах</w:t>
      </w:r>
      <w:r>
        <w:rPr>
          <w:rFonts w:ascii="Times New Roman" w:cs="Times New Roman" w:eastAsia="Times New Roman" w:hAnsi="Times New Roman"/>
          <w:b/>
          <w:bCs/>
          <w:sz w:val="24"/>
          <w:szCs w:val="24"/>
        </w:rPr>
        <w:t xml:space="preserve"> </w:t>
      </w:r>
      <w:r>
        <w:rPr>
          <w:rFonts w:ascii="Times New Roman" w:cs="Times New Roman" w:eastAsia="Times New Roman" w:hAnsi="Times New Roman"/>
          <w:b/>
          <w:bCs/>
          <w:color w:val="7030A0"/>
          <w:sz w:val="24"/>
          <w:szCs w:val="24"/>
        </w:rPr>
        <w:t>“Хууль сахиулахуйн инноваци”</w:t>
      </w:r>
      <w:r>
        <w:rPr>
          <w:rFonts w:ascii="Times New Roman" w:cs="Times New Roman" w:eastAsia="Times New Roman" w:hAnsi="Times New Roman"/>
          <w:sz w:val="24"/>
          <w:szCs w:val="24"/>
        </w:rPr>
        <w:t xml:space="preserve"> олон улсын эрдэм шинжилгээний хурл</w:t>
      </w:r>
      <w:r>
        <w:rPr>
          <w:rFonts w:ascii="Times New Roman" w:cs="Times New Roman" w:eastAsia="Times New Roman" w:hAnsi="Times New Roman"/>
          <w:sz w:val="24"/>
          <w:szCs w:val="24"/>
          <w:lang w:val="mn-MN"/>
        </w:rPr>
        <w:t xml:space="preserve">ын илтгэлүүдийн эхний </w:t>
      </w:r>
      <w:r>
        <w:rPr>
          <w:rFonts w:ascii="Times New Roman" w:cs="Times New Roman" w:eastAsia="Times New Roman" w:hAnsi="Times New Roman"/>
          <w:b/>
          <w:sz w:val="24"/>
          <w:szCs w:val="24"/>
          <w:lang w:val="mn-MN"/>
        </w:rPr>
        <w:t>эмхэтгэл-</w:t>
      </w:r>
      <w:r>
        <w:rPr>
          <w:rFonts w:ascii="Times New Roman" w:cs="Times New Roman" w:eastAsia="Times New Roman" w:hAnsi="Times New Roman"/>
          <w:b/>
          <w:sz w:val="24"/>
          <w:szCs w:val="24"/>
        </w:rPr>
        <w:t>I</w:t>
      </w:r>
      <w:r>
        <w:rPr>
          <w:rFonts w:ascii="Times New Roman" w:cs="Times New Roman" w:eastAsia="Times New Roman" w:hAnsi="Times New Roman"/>
          <w:b/>
          <w:sz w:val="24"/>
          <w:szCs w:val="24"/>
          <w:lang w:val="mn-MN"/>
        </w:rPr>
        <w:t>-д</w:t>
      </w:r>
      <w:r>
        <w:rPr>
          <w:rFonts w:ascii="Times New Roman" w:cs="Times New Roman" w:eastAsia="Times New Roman" w:hAnsi="Times New Roman"/>
          <w:sz w:val="24"/>
          <w:szCs w:val="24"/>
          <w:lang w:val="mn-MN"/>
        </w:rPr>
        <w:t xml:space="preserve"> орох илтгэлүүдийг хүлээн авсан болно. </w:t>
      </w:r>
    </w:p>
    <w:p>
      <w:pPr>
        <w:pStyle w:val="style0"/>
        <w:spacing w:after="120" w:before="0" w:line="100" w:lineRule="atLeast"/>
        <w:ind w:firstLine="720" w:left="0" w:right="0"/>
        <w:jc w:val="both"/>
      </w:pPr>
      <w:r>
        <w:rPr>
          <w:rFonts w:ascii="Times New Roman" w:cs="Times New Roman" w:eastAsia="Times New Roman" w:hAnsi="Times New Roman"/>
          <w:sz w:val="24"/>
          <w:szCs w:val="24"/>
        </w:rPr>
        <w:t>Тус хурлыг их сургуулийн түүхт 80 жилийн ойн хүрээнд зохион байгуулж байгаагаараа онцлог бөгөөд хуралд яам, агентлаг, хууль сахиулах байгууллага, их, дээд сургууль, эрдэм шинжилгээ, судалгааны хүрээлэн, төв, төрийн бус байгууллага, гадаад, дотоодын эрдэмтэн, судлаач, мэргэжилтэн, шинжээч, практикийн ажилтнууд зэрэг өргөн төлөөл</w:t>
      </w:r>
      <w:r>
        <w:rPr>
          <w:rFonts w:ascii="Times New Roman" w:cs="Times New Roman" w:eastAsia="Times New Roman" w:hAnsi="Times New Roman"/>
          <w:sz w:val="24"/>
          <w:szCs w:val="24"/>
          <w:lang w:val="mn-MN"/>
        </w:rPr>
        <w:t xml:space="preserve">өл оролцоно. </w:t>
      </w:r>
    </w:p>
    <w:p>
      <w:pPr>
        <w:pStyle w:val="style0"/>
        <w:spacing w:after="120" w:before="0" w:line="100" w:lineRule="atLeast"/>
        <w:ind w:firstLine="720" w:left="0" w:right="0"/>
        <w:jc w:val="both"/>
      </w:pPr>
      <w:r>
        <w:rPr>
          <w:rFonts w:ascii="Times New Roman" w:cs="Times New Roman" w:eastAsia="Times New Roman" w:hAnsi="Times New Roman"/>
          <w:sz w:val="24"/>
          <w:szCs w:val="24"/>
          <w:lang w:val="mn-MN"/>
        </w:rPr>
        <w:t>Хурлын хүрээнд ирүүлсэн эмхэтгэл-</w:t>
      </w:r>
      <w:r>
        <w:rPr>
          <w:rFonts w:ascii="Times New Roman" w:cs="Times New Roman" w:eastAsia="Times New Roman" w:hAnsi="Times New Roman"/>
          <w:sz w:val="24"/>
          <w:szCs w:val="24"/>
        </w:rPr>
        <w:t>I</w:t>
      </w:r>
      <w:r>
        <w:rPr>
          <w:rFonts w:ascii="Times New Roman" w:cs="Times New Roman" w:eastAsia="Times New Roman" w:hAnsi="Times New Roman"/>
          <w:sz w:val="24"/>
          <w:szCs w:val="24"/>
          <w:lang w:val="mn-MN"/>
        </w:rPr>
        <w:t xml:space="preserve">-д ороогүй илтгэл, хэлсэн үг, хурлын үйл явц, хурлаас гарсан зөвлөмжийг тусгасан </w:t>
      </w:r>
      <w:r>
        <w:rPr>
          <w:rFonts w:ascii="Times New Roman" w:cs="Times New Roman" w:eastAsia="Times New Roman" w:hAnsi="Times New Roman"/>
          <w:b/>
          <w:sz w:val="24"/>
          <w:szCs w:val="24"/>
          <w:lang w:val="mn-MN"/>
        </w:rPr>
        <w:t>Эмхэтгэл-</w:t>
      </w:r>
      <w:r>
        <w:rPr>
          <w:rFonts w:ascii="Times New Roman" w:cs="Times New Roman" w:eastAsia="Times New Roman" w:hAnsi="Times New Roman"/>
          <w:b/>
          <w:sz w:val="24"/>
          <w:szCs w:val="24"/>
        </w:rPr>
        <w:t>II-</w:t>
      </w:r>
      <w:r>
        <w:rPr>
          <w:rFonts w:ascii="Times New Roman" w:cs="Times New Roman" w:eastAsia="Times New Roman" w:hAnsi="Times New Roman"/>
          <w:b/>
          <w:sz w:val="24"/>
          <w:szCs w:val="24"/>
          <w:lang w:val="mn-MN"/>
        </w:rPr>
        <w:t>ийг</w:t>
      </w:r>
      <w:r>
        <w:rPr>
          <w:rFonts w:ascii="Times New Roman" w:cs="Times New Roman" w:eastAsia="Times New Roman" w:hAnsi="Times New Roman"/>
          <w:sz w:val="24"/>
          <w:szCs w:val="24"/>
          <w:lang w:val="mn-MN"/>
        </w:rPr>
        <w:t xml:space="preserve"> хэвлүүлэх тул эрдэмтэн, судлаач, багш, суралцагч, практик байгууллагын ажилтнууд </w:t>
      </w:r>
      <w:r>
        <w:rPr>
          <w:rFonts w:ascii="Times New Roman" w:cs="Times New Roman" w:eastAsia="Times New Roman" w:hAnsi="Times New Roman"/>
          <w:color w:val="7030A0"/>
          <w:sz w:val="24"/>
          <w:szCs w:val="24"/>
          <w:lang w:val="mn-MN"/>
        </w:rPr>
        <w:t>2014 оны 10 дугаар сарын 20-ны дотор илтгэлээ, мөн хурлаас гарах зөвлөмжид тусгах саналаа ирүүлэхийг хүсье</w:t>
      </w:r>
      <w:r>
        <w:rPr>
          <w:rFonts w:ascii="Times New Roman" w:cs="Times New Roman" w:eastAsia="Times New Roman" w:hAnsi="Times New Roman"/>
          <w:color w:val="7030A0"/>
          <w:sz w:val="24"/>
          <w:szCs w:val="24"/>
        </w:rPr>
        <w:t>!</w:t>
      </w:r>
    </w:p>
    <w:p>
      <w:pPr>
        <w:pStyle w:val="style0"/>
        <w:spacing w:after="120" w:before="0" w:line="100" w:lineRule="atLeast"/>
        <w:jc w:val="both"/>
      </w:pPr>
      <w:r>
        <w:rPr>
          <w:rFonts w:ascii="Times New Roman" w:cs="Times New Roman" w:eastAsia="Times New Roman" w:hAnsi="Times New Roman"/>
          <w:b/>
          <w:bCs/>
          <w:sz w:val="24"/>
          <w:szCs w:val="24"/>
        </w:rPr>
        <w:t>     </w:t>
      </w:r>
      <w:r>
        <w:rPr>
          <w:rFonts w:ascii="Times New Roman" w:cs="Times New Roman" w:eastAsia="Times New Roman" w:hAnsi="Times New Roman"/>
          <w:b/>
          <w:bCs/>
          <w:sz w:val="24"/>
          <w:szCs w:val="24"/>
        </w:rPr>
        <w:tab/>
        <w:t xml:space="preserve">Илтгэлийн үндсэн чиглэл: </w:t>
      </w:r>
      <w:r>
        <w:rPr>
          <w:rFonts w:ascii="Times New Roman" w:cs="Times New Roman" w:eastAsia="Times New Roman" w:hAnsi="Times New Roman"/>
          <w:sz w:val="24"/>
          <w:szCs w:val="24"/>
          <w:lang w:val="mn-MN"/>
        </w:rPr>
        <w:t xml:space="preserve">Улс орны </w:t>
      </w:r>
      <w:r>
        <w:rPr>
          <w:rFonts w:ascii="Times New Roman" w:cs="Times New Roman" w:eastAsia="Times New Roman" w:hAnsi="Times New Roman"/>
          <w:sz w:val="24"/>
          <w:szCs w:val="24"/>
        </w:rPr>
        <w:t>үндэсний аюулгүй байдлыг хангах, гэмт хэрэгтэй тэмцэх, нийтийн хэв журам хамгаалах, олон нийтийн аюулгүй байдлыг хангах, улсын хил хамгаалах, гамшгаас авран хамгаалах болон хууль сахиулах салбарт шинжлэх ухааны ололт, инноваци нэвтрүүлэх, түүнийг хөгжүүлэх талаар шинжлэх ухаан, онол, арга зүй, практикийн шинжтэй, гадаад, дотоодын тэргүүн туршлага, шинэ санал, санаачилга хэрэгжүүлэх боломжтой илтгэл хүлээж авна.</w:t>
      </w:r>
    </w:p>
    <w:p>
      <w:pPr>
        <w:pStyle w:val="style0"/>
        <w:spacing w:after="120" w:before="0" w:line="100" w:lineRule="atLeast"/>
        <w:jc w:val="both"/>
      </w:pPr>
      <w:r>
        <w:rPr>
          <w:rFonts w:ascii="Times New Roman" w:cs="Times New Roman" w:eastAsia="Times New Roman" w:hAnsi="Times New Roman"/>
          <w:b/>
          <w:bCs/>
          <w:sz w:val="24"/>
          <w:szCs w:val="24"/>
        </w:rPr>
        <w:t>    </w:t>
      </w:r>
      <w:r>
        <w:rPr>
          <w:rFonts w:ascii="Times New Roman" w:cs="Times New Roman" w:eastAsia="Times New Roman" w:hAnsi="Times New Roman"/>
          <w:b/>
          <w:bCs/>
          <w:sz w:val="24"/>
          <w:szCs w:val="24"/>
        </w:rPr>
        <w:tab/>
        <w:t xml:space="preserve">Илтгэлд тавигдах шаардлага: </w:t>
      </w:r>
      <w:r>
        <w:rPr>
          <w:rFonts w:ascii="Times New Roman" w:cs="Times New Roman" w:eastAsia="Times New Roman" w:hAnsi="Times New Roman"/>
          <w:sz w:val="24"/>
          <w:szCs w:val="24"/>
        </w:rPr>
        <w:t>Илтгэгч илтгэлдээ товч намтар, албан тушаал, гэрэл зургаа оруулахын зэрэгцээ илтгэлийн сэдэв болон 3-5 өгүүлбэрт багтаан бэлтгэсэн товчлолыг англи хэл (илтгэлийг англи хэлээр бэлтгэсэн тохиолдолд монгол хэлрүү, орос хэлээр бэлтгэсэн бол англи, монгол хэлрүү)-рүү орчуулж ирүүлнэ.</w:t>
      </w:r>
    </w:p>
    <w:p>
      <w:pPr>
        <w:pStyle w:val="style0"/>
        <w:spacing w:after="0" w:before="0" w:line="100" w:lineRule="atLeast"/>
        <w:jc w:val="both"/>
      </w:pPr>
      <w:r>
        <w:rPr>
          <w:rFonts w:ascii="Times New Roman" w:cs="Times New Roman" w:eastAsia="Times New Roman" w:hAnsi="Times New Roman"/>
          <w:sz w:val="24"/>
          <w:szCs w:val="24"/>
        </w:rPr>
        <w:t>       </w:t>
      </w:r>
      <w:r>
        <w:rPr>
          <w:rFonts w:ascii="Times New Roman" w:cs="Times New Roman" w:eastAsia="Times New Roman" w:hAnsi="Times New Roman"/>
          <w:sz w:val="24"/>
          <w:szCs w:val="24"/>
          <w:u w:val="single"/>
        </w:rPr>
        <w:t xml:space="preserve">Эх бичвэрт тавигдах шаардлага: </w:t>
      </w:r>
    </w:p>
    <w:p>
      <w:pPr>
        <w:pStyle w:val="style0"/>
        <w:spacing w:after="0" w:before="0" w:line="100" w:lineRule="atLeast"/>
        <w:jc w:val="both"/>
      </w:pPr>
      <w:r>
        <w:rPr>
          <w:rFonts w:ascii="Times New Roman" w:cs="Times New Roman" w:eastAsia="Times New Roman" w:hAnsi="Times New Roman"/>
          <w:sz w:val="24"/>
          <w:szCs w:val="24"/>
        </w:rPr>
        <w:t>       </w:t>
      </w:r>
      <w:r>
        <w:rPr>
          <w:rFonts w:ascii="Times New Roman" w:cs="Times New Roman" w:eastAsia="Times New Roman" w:hAnsi="Times New Roman"/>
          <w:sz w:val="24"/>
          <w:szCs w:val="24"/>
        </w:rPr>
        <w:t>1.   Боловсруулах программ- Microsoft Word;</w:t>
      </w:r>
    </w:p>
    <w:p>
      <w:pPr>
        <w:pStyle w:val="style0"/>
        <w:spacing w:after="0" w:before="0" w:line="100" w:lineRule="atLeast"/>
        <w:jc w:val="both"/>
      </w:pPr>
      <w:r>
        <w:rPr>
          <w:rFonts w:ascii="Times New Roman" w:cs="Times New Roman" w:eastAsia="Times New Roman" w:hAnsi="Times New Roman"/>
          <w:sz w:val="24"/>
          <w:szCs w:val="24"/>
        </w:rPr>
        <w:t>       </w:t>
      </w:r>
      <w:r>
        <w:rPr>
          <w:rFonts w:ascii="Times New Roman" w:cs="Times New Roman" w:eastAsia="Times New Roman" w:hAnsi="Times New Roman"/>
          <w:sz w:val="24"/>
          <w:szCs w:val="24"/>
        </w:rPr>
        <w:t>2.   Үсгийн фонд-                       Arial;</w:t>
      </w:r>
    </w:p>
    <w:p>
      <w:pPr>
        <w:pStyle w:val="style0"/>
        <w:spacing w:after="0" w:before="0" w:line="100" w:lineRule="atLeast"/>
        <w:jc w:val="both"/>
      </w:pPr>
      <w:r>
        <w:rPr>
          <w:rFonts w:ascii="Times New Roman" w:cs="Times New Roman" w:eastAsia="Times New Roman" w:hAnsi="Times New Roman"/>
          <w:sz w:val="24"/>
          <w:szCs w:val="24"/>
        </w:rPr>
        <w:t>       </w:t>
      </w:r>
      <w:r>
        <w:rPr>
          <w:rFonts w:ascii="Times New Roman" w:cs="Times New Roman" w:eastAsia="Times New Roman" w:hAnsi="Times New Roman"/>
          <w:sz w:val="24"/>
          <w:szCs w:val="24"/>
        </w:rPr>
        <w:t>3.   Үсгийн өндөр-                      12;</w:t>
      </w:r>
    </w:p>
    <w:p>
      <w:pPr>
        <w:pStyle w:val="style0"/>
        <w:spacing w:after="0" w:before="0" w:line="100" w:lineRule="atLeast"/>
        <w:jc w:val="both"/>
      </w:pPr>
      <w:r>
        <w:rPr>
          <w:rFonts w:ascii="Times New Roman" w:cs="Times New Roman" w:eastAsia="Times New Roman" w:hAnsi="Times New Roman"/>
          <w:sz w:val="24"/>
          <w:szCs w:val="24"/>
        </w:rPr>
        <w:t>       </w:t>
      </w:r>
      <w:r>
        <w:rPr>
          <w:rFonts w:ascii="Times New Roman" w:cs="Times New Roman" w:eastAsia="Times New Roman" w:hAnsi="Times New Roman"/>
          <w:sz w:val="24"/>
          <w:szCs w:val="24"/>
        </w:rPr>
        <w:t>4.   Мөр хоорондын зай-           1.5;</w:t>
      </w:r>
    </w:p>
    <w:p>
      <w:pPr>
        <w:pStyle w:val="style0"/>
        <w:spacing w:after="0" w:before="0" w:line="100" w:lineRule="atLeast"/>
        <w:jc w:val="both"/>
      </w:pPr>
      <w:r>
        <w:rPr>
          <w:rFonts w:ascii="Times New Roman" w:cs="Times New Roman" w:eastAsia="Times New Roman" w:hAnsi="Times New Roman"/>
          <w:sz w:val="24"/>
          <w:szCs w:val="24"/>
        </w:rPr>
        <w:t>       </w:t>
      </w:r>
      <w:r>
        <w:rPr>
          <w:rFonts w:ascii="Times New Roman" w:cs="Times New Roman" w:eastAsia="Times New Roman" w:hAnsi="Times New Roman"/>
          <w:sz w:val="24"/>
          <w:szCs w:val="24"/>
        </w:rPr>
        <w:t>5.   Цаасны захын зай-             Дээд, доод захаас 2 см, зүүн захаас 3 см, баруу захаас 1.5 см</w:t>
      </w:r>
    </w:p>
    <w:p>
      <w:pPr>
        <w:pStyle w:val="style0"/>
        <w:spacing w:after="0" w:before="0" w:line="100" w:lineRule="atLeast"/>
        <w:jc w:val="right"/>
      </w:pPr>
      <w:r>
        <w:rPr>
          <w:rFonts w:ascii="Times New Roman" w:cs="Times New Roman" w:eastAsia="Times New Roman" w:hAnsi="Times New Roman"/>
          <w:sz w:val="24"/>
          <w:szCs w:val="24"/>
        </w:rPr>
      </w:r>
    </w:p>
    <w:p>
      <w:pPr>
        <w:pStyle w:val="style0"/>
        <w:spacing w:after="0" w:before="0" w:line="100" w:lineRule="atLeast"/>
        <w:jc w:val="right"/>
      </w:pPr>
      <w:r>
        <w:rPr>
          <w:rFonts w:ascii="Times New Roman" w:cs="Times New Roman" w:eastAsia="Times New Roman" w:hAnsi="Times New Roman"/>
          <w:sz w:val="24"/>
          <w:szCs w:val="24"/>
        </w:rPr>
        <w:t>Хууль сахиулахын их сургуулийн хичээлийн 1 дүгээр байр,</w:t>
      </w:r>
    </w:p>
    <w:p>
      <w:pPr>
        <w:pStyle w:val="style0"/>
        <w:spacing w:after="0" w:before="0" w:line="100" w:lineRule="atLeast"/>
        <w:jc w:val="right"/>
      </w:pPr>
      <w:r>
        <w:rPr>
          <w:rFonts w:ascii="Times New Roman" w:cs="Times New Roman" w:eastAsia="Times New Roman" w:hAnsi="Times New Roman"/>
          <w:sz w:val="24"/>
          <w:szCs w:val="24"/>
          <w:lang w:val="mn-MN"/>
        </w:rPr>
        <w:t xml:space="preserve">Цагдаа судлалын төв, </w:t>
      </w:r>
      <w:r>
        <w:rPr>
          <w:rFonts w:ascii="Times New Roman" w:cs="Times New Roman" w:eastAsia="Times New Roman" w:hAnsi="Times New Roman"/>
          <w:sz w:val="24"/>
          <w:szCs w:val="24"/>
        </w:rPr>
        <w:t>105 тоот</w:t>
      </w:r>
    </w:p>
    <w:p>
      <w:pPr>
        <w:pStyle w:val="style0"/>
        <w:spacing w:after="0" w:before="0" w:line="100" w:lineRule="atLeast"/>
        <w:ind w:hanging="0" w:left="3600" w:right="0"/>
        <w:jc w:val="right"/>
      </w:pPr>
      <w:r>
        <w:rPr>
          <w:rFonts w:ascii="Times New Roman" w:cs="Times New Roman" w:eastAsia="Times New Roman" w:hAnsi="Times New Roman"/>
          <w:b/>
          <w:color w:val="7030A0"/>
          <w:sz w:val="24"/>
          <w:szCs w:val="24"/>
        </w:rPr>
        <w:t>police_study_center@leu.gov.mn</w:t>
      </w:r>
    </w:p>
    <w:p>
      <w:pPr>
        <w:pStyle w:val="style0"/>
        <w:spacing w:after="0" w:before="0" w:line="100" w:lineRule="atLeast"/>
        <w:jc w:val="right"/>
      </w:pPr>
      <w:r>
        <w:rPr>
          <w:rFonts w:ascii="Times New Roman" w:cs="Times New Roman" w:eastAsia="Times New Roman" w:hAnsi="Times New Roman"/>
          <w:b/>
          <w:color w:val="7030A0"/>
          <w:sz w:val="24"/>
          <w:szCs w:val="24"/>
        </w:rPr>
        <w:t>7015-5034, 9302-0288, 9886-4161</w:t>
      </w:r>
    </w:p>
    <w:sectPr>
      <w:type w:val="nextPage"/>
      <w:pgSz w:h="16838" w:w="11906"/>
      <w:pgMar w:bottom="964" w:footer="0" w:gutter="0" w:header="0" w:left="1644" w:right="737" w:top="107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Droid Sans Fallback" w:hAnsi="Calibri"/>
      <w:color w:val="auto"/>
      <w:sz w:val="22"/>
      <w:szCs w:val="22"/>
      <w:lang w:bidi="ar-SA" w:eastAsia="en-US" w:val="en-U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Balloon Text Char"/>
    <w:basedOn w:val="style15"/>
    <w:next w:val="style17"/>
    <w:rPr>
      <w:rFonts w:ascii="Tahoma" w:cs="Tahoma" w:hAnsi="Tahoma"/>
      <w:sz w:val="16"/>
      <w:szCs w:val="16"/>
    </w:rPr>
  </w:style>
  <w:style w:styleId="style18" w:type="paragraph">
    <w:name w:val="Heading"/>
    <w:basedOn w:val="style0"/>
    <w:next w:val="style19"/>
    <w:pPr>
      <w:keepNext/>
      <w:spacing w:after="120" w:before="240"/>
    </w:pPr>
    <w:rPr>
      <w:rFonts w:ascii="Arial" w:cs="Lohit Hindi" w:eastAsia="Droid Sans Fallback" w:hAnsi="Arial"/>
      <w:sz w:val="28"/>
      <w:szCs w:val="28"/>
    </w:rPr>
  </w:style>
  <w:style w:styleId="style19" w:type="paragraph">
    <w:name w:val="Text body"/>
    <w:basedOn w:val="style0"/>
    <w:next w:val="style19"/>
    <w:pPr>
      <w:spacing w:after="120" w:before="0"/>
    </w:pPr>
    <w:rPr/>
  </w:style>
  <w:style w:styleId="style20" w:type="paragraph">
    <w:name w:val="List"/>
    <w:basedOn w:val="style19"/>
    <w:next w:val="style20"/>
    <w:pPr/>
    <w:rPr>
      <w:rFonts w:cs="Lohit Hindi"/>
    </w:rPr>
  </w:style>
  <w:style w:styleId="style21" w:type="paragraph">
    <w:name w:val="Caption"/>
    <w:basedOn w:val="style0"/>
    <w:next w:val="style21"/>
    <w:pPr>
      <w:suppressLineNumbers/>
      <w:spacing w:after="120" w:before="120"/>
    </w:pPr>
    <w:rPr>
      <w:rFonts w:cs="Lohit Hindi"/>
      <w:i/>
      <w:iCs/>
      <w:sz w:val="24"/>
      <w:szCs w:val="24"/>
    </w:rPr>
  </w:style>
  <w:style w:styleId="style22" w:type="paragraph">
    <w:name w:val="Index"/>
    <w:basedOn w:val="style0"/>
    <w:next w:val="style22"/>
    <w:pPr>
      <w:suppressLineNumbers/>
    </w:pPr>
    <w:rPr>
      <w:rFonts w:cs="Lohit Hindi"/>
    </w:rPr>
  </w:style>
  <w:style w:styleId="style23" w:type="paragraph">
    <w:name w:val="Normal (Web)"/>
    <w:basedOn w:val="style0"/>
    <w:next w:val="style23"/>
    <w:pPr>
      <w:spacing w:after="28" w:before="28" w:line="100" w:lineRule="atLeast"/>
    </w:pPr>
    <w:rPr>
      <w:rFonts w:ascii="Times New Roman" w:cs="Times New Roman" w:eastAsia="Times New Roman" w:hAnsi="Times New Roman"/>
      <w:sz w:val="24"/>
      <w:szCs w:val="24"/>
    </w:rPr>
  </w:style>
  <w:style w:styleId="style24" w:type="paragraph">
    <w:name w:val="Balloon Text"/>
    <w:basedOn w:val="style0"/>
    <w:next w:val="style24"/>
    <w:pPr>
      <w:spacing w:after="0" w:before="0" w:line="100" w:lineRule="atLeas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2014-09-28T23:31:00.00Z</dcterms:created>
  <dc:creator>ures</dc:creator>
  <cp:lastModifiedBy>ures</cp:lastModifiedBy>
  <dcterms:modified xsi:type="dcterms:W3CDTF">2014-09-28T23:46:00.00Z</dcterms:modified>
  <cp:revision>48</cp:revision>
</cp:coreProperties>
</file>