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b/>
          <w:bCs/>
          <w:sz w:val="24"/>
          <w:szCs w:val="24"/>
          <w:lang w:val="mn-MN"/>
        </w:rPr>
        <w:t xml:space="preserve">МОНГОЛ </w:t>
      </w:r>
      <w:r>
        <w:rPr>
          <w:b/>
          <w:bCs/>
          <w:sz w:val="24"/>
          <w:szCs w:val="24"/>
        </w:rPr>
        <w:t xml:space="preserve">УЛСЫН ИХ ХУРЛЫН 2014 ОНЫ </w:t>
      </w:r>
      <w:r>
        <w:rPr>
          <w:b/>
          <w:bCs/>
          <w:sz w:val="24"/>
          <w:szCs w:val="24"/>
          <w:lang w:val="mn-MN"/>
        </w:rPr>
        <w:t>НАМРЫН</w:t>
      </w:r>
      <w:r>
        <w:rPr>
          <w:b/>
          <w:bCs/>
          <w:sz w:val="24"/>
          <w:szCs w:val="24"/>
        </w:rPr>
        <w:t xml:space="preserve"> </w:t>
      </w:r>
    </w:p>
    <w:p>
      <w:pPr>
        <w:pStyle w:val="style0"/>
        <w:jc w:val="center"/>
      </w:pPr>
      <w:r>
        <w:rPr>
          <w:b/>
          <w:bCs/>
          <w:sz w:val="24"/>
          <w:szCs w:val="24"/>
        </w:rPr>
        <w:t xml:space="preserve">ЭЭЛЖИТ ЧУУЛГАНЫ </w:t>
      </w:r>
      <w:r>
        <w:rPr>
          <w:b/>
          <w:bCs/>
          <w:sz w:val="24"/>
          <w:szCs w:val="24"/>
          <w:lang w:val="mn-MN"/>
        </w:rPr>
        <w:t>10 ДУГААР</w:t>
      </w:r>
      <w:r>
        <w:rPr>
          <w:b/>
          <w:bCs/>
          <w:sz w:val="24"/>
          <w:szCs w:val="24"/>
        </w:rPr>
        <w:t xml:space="preserve"> САРЫН </w:t>
      </w:r>
      <w:r>
        <w:rPr>
          <w:b/>
          <w:bCs/>
          <w:sz w:val="24"/>
          <w:szCs w:val="24"/>
          <w:lang w:val="mn-MN"/>
        </w:rPr>
        <w:t>01</w:t>
      </w:r>
      <w:r>
        <w:rPr>
          <w:b/>
          <w:bCs/>
          <w:sz w:val="24"/>
          <w:szCs w:val="24"/>
        </w:rPr>
        <w:t>-Н</w:t>
      </w:r>
      <w:r>
        <w:rPr>
          <w:b/>
          <w:bCs/>
          <w:sz w:val="24"/>
          <w:szCs w:val="24"/>
          <w:lang w:val="mn-MN"/>
        </w:rPr>
        <w:t>ИЙ</w:t>
      </w:r>
      <w:r>
        <w:rPr>
          <w:b/>
          <w:bCs/>
          <w:sz w:val="24"/>
          <w:szCs w:val="24"/>
        </w:rPr>
        <w:t xml:space="preserve"> ӨДРИЙН </w:t>
      </w:r>
    </w:p>
    <w:p>
      <w:pPr>
        <w:pStyle w:val="style0"/>
        <w:jc w:val="center"/>
      </w:pPr>
      <w:r>
        <w:rPr>
          <w:b/>
          <w:bCs/>
          <w:sz w:val="24"/>
          <w:szCs w:val="24"/>
        </w:rPr>
        <w:t xml:space="preserve">ХУРАЛДААНААР ХЭЛЭЛЦСЭН АСУУДЛЫН </w:t>
      </w:r>
      <w:r>
        <w:rPr>
          <w:b/>
          <w:bCs/>
          <w:sz w:val="24"/>
          <w:szCs w:val="24"/>
          <w:effect w:val="blinkBackground"/>
        </w:rPr>
        <w:t>ТОВЬЁГ</w:t>
      </w:r>
    </w:p>
    <w:p>
      <w:pPr>
        <w:pStyle w:val="style0"/>
      </w:pPr>
      <w:r>
        <w:rPr/>
      </w:r>
    </w:p>
    <w:tbl>
      <w:tblPr>
        <w:jc w:val="left"/>
        <w:tblInd w:type="dxa" w:w="-6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48"/>
          <w:bottom w:type="dxa" w:w="0"/>
          <w:right w:type="dxa" w:w="108"/>
        </w:tblCellMar>
      </w:tblPr>
      <w:tblGrid>
        <w:gridCol w:w="472"/>
        <w:gridCol w:w="7852"/>
        <w:gridCol w:w="1380"/>
      </w:tblGrid>
      <w:tr>
        <w:trPr>
          <w:cantSplit w:val="false"/>
        </w:trPr>
        <w:tc>
          <w:tcPr>
            <w:tcW w:type="dxa" w:w="472"/>
            <w:tcBorders>
              <w:top w:color="00000A" w:space="0" w:sz="4" w:val="single"/>
              <w:left w:color="00000A" w:space="0" w:sz="4" w:val="single"/>
              <w:bottom w:color="00000A" w:space="0" w:sz="4" w:val="single"/>
              <w:right w:color="00000A" w:space="0" w:sz="4" w:val="single"/>
            </w:tcBorders>
            <w:shd w:fill="FFFFFF" w:val="clear"/>
            <w:tcMar>
              <w:left w:type="dxa" w:w="48"/>
            </w:tcMar>
          </w:tcPr>
          <w:p>
            <w:pPr>
              <w:pStyle w:val="style0"/>
              <w:jc w:val="center"/>
            </w:pPr>
            <w:r>
              <w:rPr/>
            </w:r>
          </w:p>
          <w:p>
            <w:pPr>
              <w:pStyle w:val="style0"/>
              <w:jc w:val="center"/>
            </w:pPr>
            <w:r>
              <w:rPr>
                <w:b/>
                <w:bCs/>
                <w:i/>
                <w:iCs/>
              </w:rPr>
              <w:t>№</w:t>
            </w:r>
          </w:p>
        </w:tc>
        <w:tc>
          <w:tcPr>
            <w:tcW w:type="dxa" w:w="7852"/>
            <w:tcBorders>
              <w:top w:color="00000A" w:space="0" w:sz="4" w:val="single"/>
              <w:left w:color="00000A" w:space="0" w:sz="4" w:val="single"/>
              <w:bottom w:color="00000A" w:space="0" w:sz="4" w:val="single"/>
              <w:right w:color="00000A" w:space="0" w:sz="4" w:val="single"/>
            </w:tcBorders>
            <w:shd w:fill="FFFFFF" w:val="clear"/>
            <w:tcMar>
              <w:left w:type="dxa" w:w="48"/>
            </w:tcMar>
          </w:tcPr>
          <w:p>
            <w:pPr>
              <w:pStyle w:val="style3"/>
              <w:spacing w:after="120" w:before="240"/>
              <w:contextualSpacing w:val="false"/>
              <w:jc w:val="center"/>
            </w:pPr>
            <w:r>
              <w:rPr>
                <w:b/>
                <w:bCs/>
                <w:i/>
                <w:iCs/>
                <w:sz w:val="24"/>
              </w:rPr>
              <w:t>Баримтын агуулга</w:t>
            </w:r>
          </w:p>
        </w:tc>
        <w:tc>
          <w:tcPr>
            <w:tcW w:type="dxa" w:w="1380"/>
            <w:tcBorders>
              <w:top w:color="00000A" w:space="0" w:sz="4" w:val="single"/>
              <w:left w:color="00000A" w:space="0" w:sz="4" w:val="single"/>
              <w:bottom w:color="00000A" w:space="0" w:sz="4" w:val="single"/>
              <w:right w:color="00000A" w:space="0" w:sz="4" w:val="single"/>
            </w:tcBorders>
            <w:shd w:fill="FFFFFF" w:val="clear"/>
            <w:tcMar>
              <w:left w:type="dxa" w:w="48"/>
            </w:tcMar>
          </w:tcPr>
          <w:p>
            <w:pPr>
              <w:pStyle w:val="style1"/>
              <w:spacing w:after="120" w:before="240"/>
              <w:contextualSpacing w:val="false"/>
              <w:jc w:val="center"/>
            </w:pPr>
            <w:r>
              <w:rPr>
                <w:b/>
                <w:bCs/>
                <w:i/>
                <w:iCs/>
                <w:sz w:val="24"/>
                <w:szCs w:val="24"/>
              </w:rPr>
              <w:t>Хэдээс хэд</w:t>
            </w:r>
          </w:p>
        </w:tc>
      </w:tr>
      <w:tr>
        <w:trPr>
          <w:cantSplit w:val="false"/>
        </w:trPr>
        <w:tc>
          <w:tcPr>
            <w:tcW w:type="dxa" w:w="472"/>
            <w:tcBorders>
              <w:top w:val="none"/>
              <w:left w:color="00000A" w:space="0" w:sz="4" w:val="single"/>
              <w:bottom w:color="00000A" w:space="0" w:sz="4" w:val="single"/>
              <w:right w:color="00000A" w:space="0" w:sz="4" w:val="single"/>
            </w:tcBorders>
            <w:shd w:fill="FFFFFF" w:val="clear"/>
            <w:tcMar>
              <w:left w:type="dxa" w:w="48"/>
            </w:tcMar>
          </w:tcPr>
          <w:p>
            <w:pPr>
              <w:pStyle w:val="style0"/>
              <w:jc w:val="both"/>
            </w:pPr>
            <w:r>
              <w:rPr>
                <w:bCs/>
                <w:i w:val="false"/>
                <w:iCs w:val="false"/>
                <w:lang w:val="mn-MN"/>
              </w:rPr>
              <w:t>1.</w:t>
            </w:r>
          </w:p>
        </w:tc>
        <w:tc>
          <w:tcPr>
            <w:tcW w:type="dxa" w:w="7852"/>
            <w:tcBorders>
              <w:top w:val="none"/>
              <w:left w:color="00000A" w:space="0" w:sz="4" w:val="single"/>
              <w:bottom w:color="00000A" w:space="0" w:sz="4" w:val="single"/>
              <w:right w:color="00000A" w:space="0" w:sz="4" w:val="single"/>
            </w:tcBorders>
            <w:shd w:fill="FFFFFF" w:val="clear"/>
            <w:tcMar>
              <w:left w:type="dxa" w:w="48"/>
            </w:tcMar>
          </w:tcPr>
          <w:p>
            <w:pPr>
              <w:pStyle w:val="style0"/>
              <w:jc w:val="both"/>
            </w:pPr>
            <w:r>
              <w:rPr>
                <w:b w:val="false"/>
                <w:bCs w:val="false"/>
                <w:i/>
                <w:iCs/>
                <w:u w:val="none"/>
                <w:lang w:val="mn-MN"/>
              </w:rPr>
              <w:t>Гар тэмдэглэл</w:t>
            </w:r>
          </w:p>
        </w:tc>
        <w:tc>
          <w:tcPr>
            <w:tcW w:type="dxa" w:w="1380"/>
            <w:tcBorders>
              <w:top w:val="none"/>
              <w:left w:color="00000A" w:space="0" w:sz="4" w:val="single"/>
              <w:bottom w:color="00000A" w:space="0" w:sz="4" w:val="single"/>
              <w:right w:color="00000A" w:space="0" w:sz="4" w:val="single"/>
            </w:tcBorders>
            <w:shd w:fill="FFFFFF" w:val="clear"/>
            <w:tcMar>
              <w:left w:type="dxa" w:w="48"/>
            </w:tcMar>
          </w:tcPr>
          <w:p>
            <w:pPr>
              <w:pStyle w:val="style0"/>
              <w:jc w:val="center"/>
            </w:pPr>
            <w:r>
              <w:rPr>
                <w:lang w:val="mn-MN"/>
              </w:rPr>
              <w:t xml:space="preserve">1-2 </w:t>
            </w:r>
          </w:p>
        </w:tc>
      </w:tr>
      <w:tr>
        <w:trPr>
          <w:cantSplit w:val="false"/>
        </w:trPr>
        <w:tc>
          <w:tcPr>
            <w:tcW w:type="dxa" w:w="472"/>
            <w:tcBorders>
              <w:top w:color="00000A" w:space="0" w:sz="4" w:val="single"/>
              <w:left w:color="00000A" w:space="0" w:sz="4" w:val="single"/>
              <w:bottom w:color="00000A" w:space="0" w:sz="4" w:val="single"/>
              <w:right w:color="00000A" w:space="0" w:sz="4" w:val="single"/>
            </w:tcBorders>
            <w:shd w:fill="FFFFFF" w:val="clear"/>
            <w:tcMar>
              <w:left w:type="dxa" w:w="48"/>
            </w:tcMar>
          </w:tcPr>
          <w:p>
            <w:pPr>
              <w:pStyle w:val="style0"/>
              <w:jc w:val="both"/>
            </w:pPr>
            <w:r>
              <w:rPr>
                <w:i/>
                <w:lang w:val="mn-MN"/>
              </w:rPr>
              <w:t>2</w:t>
            </w:r>
            <w:r>
              <w:rPr>
                <w:i/>
              </w:rPr>
              <w:t>.</w:t>
            </w:r>
          </w:p>
        </w:tc>
        <w:tc>
          <w:tcPr>
            <w:tcW w:type="dxa" w:w="7852"/>
            <w:tcBorders>
              <w:top w:color="00000A" w:space="0" w:sz="4" w:val="single"/>
              <w:left w:color="00000A" w:space="0" w:sz="4" w:val="single"/>
              <w:bottom w:color="00000A" w:space="0" w:sz="4" w:val="single"/>
              <w:right w:color="00000A" w:space="0" w:sz="4" w:val="single"/>
            </w:tcBorders>
            <w:shd w:fill="FFFFFF" w:val="clear"/>
            <w:tcMar>
              <w:left w:type="dxa" w:w="48"/>
            </w:tcMar>
          </w:tcPr>
          <w:p>
            <w:pPr>
              <w:pStyle w:val="style0"/>
              <w:jc w:val="both"/>
            </w:pPr>
            <w:r>
              <w:rPr>
                <w:b/>
                <w:i/>
                <w:lang w:val="ms-MY"/>
              </w:rPr>
              <w:t xml:space="preserve">Соронзон бичлэг: </w:t>
            </w:r>
          </w:p>
          <w:p>
            <w:pPr>
              <w:pStyle w:val="style0"/>
              <w:jc w:val="both"/>
            </w:pPr>
            <w:r>
              <w:rPr>
                <w:b w:val="false"/>
                <w:bCs w:val="false"/>
                <w:i w:val="false"/>
                <w:iCs w:val="false"/>
                <w:lang w:val="mn-MN"/>
              </w:rPr>
              <w:t xml:space="preserve">Монгол Улсын Их Хурлын 2014 оны намрын </w:t>
            </w:r>
            <w:r>
              <w:rPr>
                <w:b w:val="false"/>
                <w:bCs w:val="false"/>
                <w:i w:val="false"/>
                <w:iCs w:val="false"/>
                <w:lang w:val="mn-MN"/>
              </w:rPr>
              <w:t xml:space="preserve">ээлжит </w:t>
            </w:r>
            <w:r>
              <w:rPr>
                <w:b w:val="false"/>
                <w:bCs w:val="false"/>
                <w:i w:val="false"/>
                <w:iCs w:val="false"/>
                <w:lang w:val="mn-MN"/>
              </w:rPr>
              <w:t xml:space="preserve">чуулганыг нээж Улсын Их Хурлын дарга З.Энхболдын хэлсэн үг </w:t>
            </w:r>
          </w:p>
        </w:tc>
        <w:tc>
          <w:tcPr>
            <w:tcW w:type="dxa" w:w="1380"/>
            <w:tcBorders>
              <w:top w:color="00000A" w:space="0" w:sz="4" w:val="single"/>
              <w:left w:color="00000A" w:space="0" w:sz="4" w:val="single"/>
              <w:bottom w:color="00000A" w:space="0" w:sz="4" w:val="single"/>
              <w:right w:color="00000A" w:space="0" w:sz="4" w:val="single"/>
            </w:tcBorders>
            <w:shd w:fill="FFFFFF" w:val="clear"/>
            <w:tcMar>
              <w:left w:type="dxa" w:w="48"/>
            </w:tcMar>
          </w:tcPr>
          <w:p>
            <w:pPr>
              <w:pStyle w:val="style0"/>
              <w:jc w:val="center"/>
            </w:pPr>
            <w:r>
              <w:rPr/>
            </w:r>
          </w:p>
          <w:p>
            <w:pPr>
              <w:pStyle w:val="style0"/>
              <w:jc w:val="center"/>
            </w:pPr>
            <w:r>
              <w:rPr>
                <w:lang w:val="mn-MN"/>
              </w:rPr>
              <w:t>3-6</w:t>
            </w:r>
          </w:p>
        </w:tc>
      </w:tr>
    </w:tbl>
    <w:p>
      <w:pPr>
        <w:pStyle w:val="style0"/>
      </w:pPr>
      <w:r>
        <w:rPr/>
      </w:r>
    </w:p>
    <w:p>
      <w:pPr>
        <w:pStyle w:val="style0"/>
        <w:jc w:val="center"/>
      </w:pPr>
      <w:bookmarkStart w:id="0" w:name="__DdeLink__569_12229230381"/>
      <w:bookmarkStart w:id="1" w:name="__DdeLink__569_12229230381"/>
      <w:bookmarkEnd w:id="1"/>
      <w:r>
        <w:rPr/>
      </w:r>
    </w:p>
    <w:p>
      <w:pPr>
        <w:pStyle w:val="style0"/>
        <w:spacing w:after="0" w:before="0" w:line="100" w:lineRule="atLeast"/>
        <w:ind w:firstLine="720" w:left="0" w:right="0"/>
        <w:contextualSpacing w:val="false"/>
        <w:jc w:val="center"/>
      </w:pPr>
      <w:r>
        <w:rPr>
          <w:b/>
          <w:bCs/>
          <w:i/>
          <w:iCs/>
          <w:sz w:val="24"/>
          <w:szCs w:val="24"/>
        </w:rPr>
        <w:t xml:space="preserve">Монгол Улсын Их Хурлын 2014 </w:t>
      </w:r>
      <w:r>
        <w:rPr>
          <w:b/>
          <w:bCs/>
          <w:i/>
          <w:iCs/>
          <w:sz w:val="24"/>
          <w:szCs w:val="24"/>
          <w:lang w:val="mn-MN"/>
        </w:rPr>
        <w:t>оны намрын ээлжит</w:t>
      </w:r>
      <w:r>
        <w:rPr>
          <w:rFonts w:cs="Arial"/>
          <w:b/>
          <w:bCs/>
          <w:i/>
          <w:iCs/>
          <w:sz w:val="24"/>
          <w:szCs w:val="24"/>
          <w:lang w:val="mn-MN"/>
        </w:rPr>
        <w:t xml:space="preserve"> </w:t>
      </w:r>
      <w:r>
        <w:rPr>
          <w:rFonts w:cs="Arial"/>
          <w:b/>
          <w:bCs/>
          <w:i/>
          <w:iCs/>
          <w:sz w:val="24"/>
          <w:szCs w:val="24"/>
        </w:rPr>
        <w:t xml:space="preserve">чуулганы </w:t>
      </w:r>
    </w:p>
    <w:p>
      <w:pPr>
        <w:pStyle w:val="style0"/>
        <w:spacing w:after="0" w:before="0" w:line="100" w:lineRule="atLeast"/>
        <w:ind w:firstLine="720" w:left="0" w:right="0"/>
        <w:contextualSpacing w:val="false"/>
        <w:jc w:val="center"/>
      </w:pPr>
      <w:r>
        <w:rPr>
          <w:rFonts w:cs="Arial"/>
          <w:b/>
          <w:bCs/>
          <w:i/>
          <w:iCs/>
          <w:sz w:val="24"/>
          <w:szCs w:val="24"/>
          <w:lang w:val="mn-MN"/>
        </w:rPr>
        <w:t>10 дугаар</w:t>
      </w:r>
      <w:r>
        <w:rPr>
          <w:rFonts w:cs="Arial"/>
          <w:b/>
          <w:bCs/>
          <w:i/>
          <w:iCs/>
          <w:sz w:val="24"/>
          <w:szCs w:val="24"/>
        </w:rPr>
        <w:t xml:space="preserve"> </w:t>
      </w:r>
      <w:r>
        <w:rPr>
          <w:rFonts w:cs="Arial"/>
          <w:b/>
          <w:bCs/>
          <w:i/>
          <w:iCs/>
          <w:sz w:val="24"/>
          <w:szCs w:val="24"/>
          <w:lang w:val="mn-MN"/>
        </w:rPr>
        <w:t>сар</w:t>
      </w:r>
      <w:r>
        <w:rPr>
          <w:rFonts w:cs="Arial"/>
          <w:b/>
          <w:bCs/>
          <w:i/>
          <w:iCs/>
          <w:sz w:val="24"/>
          <w:szCs w:val="24"/>
        </w:rPr>
        <w:t xml:space="preserve">ын </w:t>
      </w:r>
      <w:r>
        <w:rPr>
          <w:rFonts w:cs="Arial"/>
          <w:b/>
          <w:bCs/>
          <w:i/>
          <w:iCs/>
          <w:sz w:val="24"/>
          <w:szCs w:val="24"/>
          <w:lang w:val="mn-MN"/>
        </w:rPr>
        <w:t>01-ний</w:t>
      </w:r>
      <w:r>
        <w:rPr>
          <w:rFonts w:cs="Arial"/>
          <w:b/>
          <w:bCs/>
          <w:i/>
          <w:iCs/>
          <w:sz w:val="24"/>
          <w:szCs w:val="24"/>
        </w:rPr>
        <w:t xml:space="preserve"> өдөр (</w:t>
      </w:r>
      <w:r>
        <w:rPr>
          <w:rFonts w:cs="Arial"/>
          <w:b/>
          <w:bCs/>
          <w:i/>
          <w:iCs/>
          <w:sz w:val="24"/>
          <w:szCs w:val="24"/>
          <w:lang w:val="mn-MN"/>
        </w:rPr>
        <w:t>Лхагва</w:t>
      </w:r>
      <w:r>
        <w:rPr>
          <w:rFonts w:cs="Arial"/>
          <w:b/>
          <w:bCs/>
          <w:i/>
          <w:iCs/>
          <w:sz w:val="24"/>
          <w:szCs w:val="24"/>
        </w:rPr>
        <w:t xml:space="preserve"> </w:t>
      </w:r>
      <w:r>
        <w:rPr>
          <w:rFonts w:cs="Arial"/>
          <w:b/>
          <w:bCs/>
          <w:i/>
          <w:iCs/>
          <w:sz w:val="24"/>
          <w:szCs w:val="24"/>
          <w:lang w:val="mn-MN"/>
        </w:rPr>
        <w:t>гараг</w:t>
      </w:r>
      <w:r>
        <w:rPr>
          <w:rFonts w:cs="Arial"/>
          <w:b/>
          <w:bCs/>
          <w:i/>
          <w:iCs/>
          <w:sz w:val="24"/>
          <w:szCs w:val="24"/>
        </w:rPr>
        <w:t xml:space="preserve">)-ийн </w:t>
      </w:r>
    </w:p>
    <w:p>
      <w:pPr>
        <w:pStyle w:val="style0"/>
        <w:spacing w:after="0" w:before="0" w:line="100" w:lineRule="atLeast"/>
        <w:ind w:firstLine="720" w:left="0" w:right="0"/>
        <w:contextualSpacing w:val="false"/>
        <w:jc w:val="center"/>
      </w:pPr>
      <w:r>
        <w:rPr>
          <w:rFonts w:cs="Arial"/>
          <w:b/>
          <w:bCs/>
          <w:i/>
          <w:iCs/>
          <w:sz w:val="24"/>
          <w:szCs w:val="24"/>
        </w:rPr>
        <w:t xml:space="preserve">нэгдсэн хуралдааны </w:t>
      </w:r>
      <w:r>
        <w:rPr>
          <w:rFonts w:cs="Arial"/>
          <w:b/>
          <w:bCs/>
          <w:i/>
          <w:iCs/>
          <w:sz w:val="24"/>
          <w:szCs w:val="24"/>
          <w:lang w:val="mn-MN"/>
        </w:rPr>
        <w:t>гар тэмдэглэл</w:t>
      </w:r>
      <w:r>
        <w:rPr>
          <w:rFonts w:cs="Arial"/>
          <w:b/>
          <w:bCs/>
          <w:i/>
          <w:iCs/>
          <w:sz w:val="24"/>
          <w:szCs w:val="24"/>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rPr>
        <w:t xml:space="preserve">Улсын Их Хурлын дарга </w:t>
      </w:r>
      <w:r>
        <w:rPr>
          <w:rFonts w:cs="Arial"/>
          <w:sz w:val="24"/>
          <w:szCs w:val="24"/>
          <w:effect w:val="blinkBackground"/>
        </w:rPr>
        <w:t>З</w:t>
      </w:r>
      <w:r>
        <w:rPr>
          <w:rFonts w:cs="Arial"/>
          <w:sz w:val="24"/>
          <w:szCs w:val="24"/>
        </w:rPr>
        <w:t>.Энхболд ирц танилцуулж, хуралдааныг даргалав.</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color w:val="000000"/>
          <w:sz w:val="24"/>
          <w:szCs w:val="24"/>
          <w:lang w:val="mn-MN"/>
        </w:rPr>
        <w:t>Х</w:t>
      </w:r>
      <w:r>
        <w:rPr>
          <w:rFonts w:cs="Arial"/>
          <w:color w:val="000000"/>
          <w:sz w:val="24"/>
          <w:szCs w:val="24"/>
        </w:rPr>
        <w:t xml:space="preserve">уралдаанд ирвэл зохих </w:t>
      </w:r>
      <w:r>
        <w:rPr>
          <w:rFonts w:cs="Arial"/>
          <w:color w:val="000000"/>
          <w:sz w:val="24"/>
          <w:szCs w:val="24"/>
          <w:lang w:val="mn-MN"/>
        </w:rPr>
        <w:t>76</w:t>
      </w:r>
      <w:r>
        <w:rPr>
          <w:rFonts w:cs="Arial"/>
          <w:color w:val="000000"/>
          <w:sz w:val="24"/>
          <w:szCs w:val="24"/>
        </w:rPr>
        <w:t xml:space="preserve"> гишүүнээс </w:t>
      </w:r>
      <w:r>
        <w:rPr>
          <w:rFonts w:cs="Arial"/>
          <w:color w:val="000000"/>
          <w:sz w:val="24"/>
          <w:szCs w:val="24"/>
          <w:lang w:val="mn-MN"/>
        </w:rPr>
        <w:t>51 гишүүн ирж, 67.1 хувийн ирцтэйгээр хуралдаан 11 цаг 43 минутад Төрийн ордны Улсын Их Хурлын чуулганы нэгдсэн хуралдааны танхимд эхлэв.</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i/>
          <w:color w:val="000000"/>
          <w:sz w:val="24"/>
          <w:szCs w:val="24"/>
        </w:rPr>
        <w:t xml:space="preserve"> </w:t>
      </w:r>
      <w:r>
        <w:rPr>
          <w:rFonts w:cs="Arial"/>
          <w:i/>
          <w:color w:val="000000"/>
          <w:sz w:val="24"/>
          <w:szCs w:val="24"/>
        </w:rPr>
        <w:tab/>
        <w:t xml:space="preserve">Чөлөөтэй: </w:t>
      </w:r>
      <w:r>
        <w:rPr>
          <w:rFonts w:cs="Arial"/>
          <w:i w:val="false"/>
          <w:iCs w:val="false"/>
          <w:color w:val="000000"/>
          <w:sz w:val="24"/>
          <w:szCs w:val="24"/>
          <w:lang w:val="mn-MN"/>
        </w:rPr>
        <w:t xml:space="preserve">Б.Бат-Эрдэнэ, Л.Болд, Г.Уянга, Н.Энхболд, Ө.Энхтүвшин, Л.Эрдэнэчимэг; </w:t>
      </w:r>
    </w:p>
    <w:p>
      <w:pPr>
        <w:pStyle w:val="style0"/>
        <w:spacing w:after="0" w:before="0" w:line="100" w:lineRule="atLeast"/>
        <w:ind w:firstLine="720" w:left="0" w:right="0"/>
        <w:contextualSpacing w:val="false"/>
        <w:jc w:val="both"/>
      </w:pPr>
      <w:r>
        <w:rPr>
          <w:rFonts w:cs="Arial"/>
          <w:i/>
          <w:color w:val="000000"/>
          <w:sz w:val="24"/>
          <w:szCs w:val="24"/>
          <w:lang w:val="mn-MN"/>
        </w:rPr>
        <w:t xml:space="preserve">Тасалсан: </w:t>
      </w:r>
      <w:r>
        <w:rPr>
          <w:rFonts w:cs="Arial"/>
          <w:i w:val="false"/>
          <w:iCs w:val="false"/>
          <w:color w:val="000000"/>
          <w:sz w:val="24"/>
          <w:szCs w:val="24"/>
          <w:lang w:val="mn-MN"/>
        </w:rPr>
        <w:t>Б.Болор, Д.Сумъяабазар.</w:t>
      </w:r>
    </w:p>
    <w:p>
      <w:pPr>
        <w:pStyle w:val="style0"/>
        <w:spacing w:after="0" w:before="0" w:line="100" w:lineRule="atLeast"/>
        <w:ind w:firstLine="720" w:left="0" w:right="0"/>
        <w:contextualSpacing w:val="false"/>
        <w:jc w:val="both"/>
      </w:pPr>
      <w:r>
        <w:rPr/>
      </w:r>
    </w:p>
    <w:p>
      <w:pPr>
        <w:pStyle w:val="style0"/>
        <w:shd w:fill="FFFFFF" w:val="clear"/>
        <w:spacing w:after="0" w:before="0" w:line="200" w:lineRule="atLeast"/>
        <w:ind w:hanging="0" w:left="0" w:right="0"/>
        <w:contextualSpacing w:val="false"/>
        <w:jc w:val="both"/>
      </w:pPr>
      <w:r>
        <w:rPr>
          <w:i/>
          <w:iCs/>
          <w:color w:val="000000"/>
          <w:sz w:val="24"/>
          <w:szCs w:val="24"/>
          <w:lang w:val="mn-MN"/>
        </w:rPr>
        <w:t xml:space="preserve"> </w:t>
      </w:r>
      <w:r>
        <w:rPr>
          <w:i/>
          <w:iCs/>
          <w:color w:val="000000"/>
          <w:sz w:val="24"/>
          <w:szCs w:val="24"/>
          <w:lang w:val="mn-MN"/>
        </w:rPr>
        <w:tab/>
        <w:t>Хуралдаанд нийт 68 гишүүн</w:t>
      </w:r>
      <w:r>
        <w:rPr>
          <w:i/>
          <w:iCs/>
          <w:color w:val="000000"/>
          <w:sz w:val="24"/>
          <w:szCs w:val="24"/>
        </w:rPr>
        <w:t xml:space="preserve"> </w:t>
      </w:r>
      <w:r>
        <w:rPr>
          <w:i/>
          <w:iCs/>
          <w:color w:val="000000"/>
          <w:sz w:val="24"/>
          <w:szCs w:val="24"/>
          <w:lang w:val="mn-MN"/>
        </w:rPr>
        <w:t>ирж, 89.4 хувийн ирцтэй байв.</w:t>
      </w:r>
    </w:p>
    <w:p>
      <w:pPr>
        <w:pStyle w:val="style0"/>
        <w:shd w:fill="FFFFFF" w:val="clear"/>
        <w:spacing w:after="0" w:before="0" w:line="200" w:lineRule="atLeast"/>
        <w:ind w:hanging="0" w:left="0" w:right="0"/>
        <w:contextualSpacing w:val="false"/>
        <w:jc w:val="both"/>
      </w:pPr>
      <w:r>
        <w:rPr/>
      </w:r>
    </w:p>
    <w:p>
      <w:pPr>
        <w:pStyle w:val="style35"/>
        <w:shd w:fill="FFFFFF" w:val="clear"/>
        <w:spacing w:after="0" w:before="0" w:line="200" w:lineRule="atLeast"/>
        <w:ind w:hanging="0" w:left="0" w:right="0"/>
        <w:contextualSpacing w:val="false"/>
        <w:jc w:val="both"/>
      </w:pPr>
      <w:r>
        <w:rPr>
          <w:sz w:val="24"/>
          <w:szCs w:val="24"/>
          <w:lang w:val="mn-MN"/>
        </w:rPr>
        <w:tab/>
      </w:r>
      <w:r>
        <w:rPr>
          <w:b/>
          <w:bCs/>
          <w:i/>
          <w:iCs/>
          <w:sz w:val="24"/>
          <w:szCs w:val="24"/>
          <w:lang w:val="mn-MN"/>
        </w:rPr>
        <w:t xml:space="preserve">2014 оны намрын ээлжит чуулганы нээлтийн ажиллагаа. </w:t>
      </w:r>
    </w:p>
    <w:p>
      <w:pPr>
        <w:pStyle w:val="style35"/>
        <w:shd w:fill="FFFFFF" w:val="clear"/>
        <w:spacing w:after="0" w:before="0" w:line="200" w:lineRule="atLeast"/>
        <w:ind w:hanging="0" w:left="0" w:right="0"/>
        <w:contextualSpacing w:val="false"/>
        <w:jc w:val="both"/>
      </w:pPr>
      <w:r>
        <w:rPr/>
      </w:r>
    </w:p>
    <w:p>
      <w:pPr>
        <w:pStyle w:val="style35"/>
        <w:shd w:fill="FFFFFF" w:val="clear"/>
        <w:spacing w:after="0" w:before="0" w:line="200" w:lineRule="atLeast"/>
        <w:ind w:hanging="0" w:left="0" w:right="0"/>
        <w:contextualSpacing w:val="false"/>
        <w:jc w:val="both"/>
      </w:pPr>
      <w:r>
        <w:rPr>
          <w:rFonts w:cs="Arial"/>
          <w:sz w:val="24"/>
          <w:szCs w:val="24"/>
          <w:lang w:val="mn-MN"/>
        </w:rPr>
        <w:t xml:space="preserve"> </w:t>
      </w:r>
      <w:r>
        <w:rPr>
          <w:rFonts w:cs="Arial"/>
          <w:sz w:val="24"/>
          <w:szCs w:val="24"/>
          <w:lang w:val="mn-MN"/>
        </w:rPr>
        <w:tab/>
        <w:t>Хуралдаанд   Зам, тээврийн сайд А.Гансүх, Эрүүл мэндийн сайд Н.Удвал, Монгол Улсын Ерөнхий аудитор А.Зангад, Авлигатай тэмцэх газрын дарга Н.Ганболд, Шүүхийн ерөнхий зөвлөлийн дарга Н.Лүндэндорж, Ерөнхийлөгчийн Тамгын газрын дарга П.Цагаан, Хүний эрхийн Үндэсний Комиссын дарга Ж.Бямбадорж, Төрийн албаны зөвлөлийн дарга Б.Цогоо, Санхүүгийн зохицуулах хорооны дарга Д.Баярсайхан, Тагнуулын ерөнхий газрын дарга Б.Ариунсан,  Улсын Их Хурлын даргын ахлах зөвлөх С.Ламбаа, зөвлөх Ц.Буянцогтоо, орон тооны бус зөвлөх Д.Лхагвасүрэн, Улсын Их Хурлын Тамгын газрын Ерөнхий нарийн бичгийн дарга Б.Болдбаатар, Улсын Их Хурлын Тамгын газрын нарийн бичгийн дарга Н.Отгончимэг, Хууль зүйн үйлчилгээний хэлтсийн дарга Ж.Дашдорж, Хуралдаан зохион байгуулах хэлтсийн дарга Н.Цогтсайхан, Захиргаа, нийтлэг үйлчилгээний хэлтсийн дарга Н.Ширэндэв, Хяналт, үнэлгээний хэлтсийн дарга Л.Энхтуяа, Судалгаа, шинжилгээний хэлтсийн дарга Ц.Норовдондог, Мэдээллийн технологийн хэлтсийн дарга Ж.Элбэгзаяа, Хэвлэл мэдээлэл, олон нийттэй харилцах хэлтсийн дарга О.Батханд, Улсын Их Хурал дахь МАХН-МҮАН-ын “Шударга ёс” эвслийн бүлгийн ажлын албаны дарга Г.Энхтөр нар урилгаар оролцов.</w:t>
      </w:r>
    </w:p>
    <w:p>
      <w:pPr>
        <w:pStyle w:val="style35"/>
        <w:shd w:fill="FFFFFF" w:val="clear"/>
        <w:tabs>
          <w:tab w:leader="none" w:pos="506" w:val="left"/>
        </w:tabs>
        <w:spacing w:after="0" w:before="0" w:line="200" w:lineRule="atLeast"/>
        <w:ind w:hanging="0" w:left="0" w:right="0"/>
        <w:contextualSpacing w:val="false"/>
        <w:jc w:val="both"/>
      </w:pPr>
      <w:r>
        <w:rPr>
          <w:rFonts w:cs="Arial"/>
          <w:sz w:val="24"/>
          <w:szCs w:val="24"/>
          <w:lang w:val="mn-MN"/>
        </w:rPr>
        <w:tab/>
        <w:t xml:space="preserve">Мөн Монгол Улсад суугаа гадаад орнуудын Дипломат төлөөлөгчийн газрын тэргүүнүүд, Монголын ногоон намын дарга О.Бум-Ялагч, Иргэний хөдөлгөөний намын хүндэт дарга Н.Даваа, Иргэний хөдөлгөөний намын Ерөнхий нарийн бичгийн дарга Д.Сүхжаргалмаа, Монгол ардын хөдөлгөөний намын Ерөнхий нарийн бичгийн дарга М.Ганзориг, Эх орончдын нэгдсэн намын дарга Г.Ганбат, Хөгжлийн хөтөлбөрийн намын Ерөнхий нарийн бичгийн дарга Б.Нарангэрэл нар  хуралдааны танхимын дээд </w:t>
      </w:r>
      <w:r>
        <w:rPr>
          <w:rFonts w:cs="Arial"/>
          <w:sz w:val="24"/>
          <w:szCs w:val="24"/>
          <w:effect w:val="blinkBackground"/>
          <w:lang w:val="mn-MN"/>
        </w:rPr>
        <w:t>лоожинд</w:t>
      </w:r>
      <w:r>
        <w:rPr>
          <w:rFonts w:cs="Arial"/>
          <w:sz w:val="24"/>
          <w:szCs w:val="24"/>
          <w:lang w:val="mn-MN"/>
        </w:rPr>
        <w:t xml:space="preserve"> суусан байлаа. </w:t>
      </w:r>
    </w:p>
    <w:p>
      <w:pPr>
        <w:pStyle w:val="style35"/>
        <w:shd w:fill="FFFFFF" w:val="clear"/>
        <w:tabs>
          <w:tab w:leader="none" w:pos="506" w:val="left"/>
          <w:tab w:leader="none" w:pos="563" w:val="left"/>
        </w:tabs>
        <w:spacing w:after="0" w:before="0" w:line="200" w:lineRule="atLeast"/>
        <w:ind w:hanging="0" w:left="0" w:right="0"/>
        <w:contextualSpacing w:val="false"/>
        <w:jc w:val="both"/>
      </w:pPr>
      <w:r>
        <w:rPr>
          <w:rFonts w:cs="Arial" w:eastAsia="Calibri"/>
          <w:sz w:val="24"/>
          <w:szCs w:val="24"/>
        </w:rPr>
        <w:tab/>
      </w:r>
      <w:r>
        <w:rPr>
          <w:rFonts w:cs="Arial" w:eastAsia="Calibri"/>
          <w:sz w:val="24"/>
          <w:szCs w:val="24"/>
          <w:lang w:val="mn-MN"/>
        </w:rPr>
        <w:tab/>
        <w:t xml:space="preserve"> </w:t>
      </w:r>
      <w:r>
        <w:rPr>
          <w:rFonts w:cs="Arial" w:eastAsia="Calibri"/>
          <w:sz w:val="23"/>
          <w:szCs w:val="23"/>
          <w:lang w:val="mn-MN"/>
        </w:rPr>
        <w:t xml:space="preserve">Улсын Их Хурлын дарга </w:t>
      </w:r>
      <w:r>
        <w:rPr>
          <w:rFonts w:cs="Arial" w:eastAsia="Calibri"/>
          <w:sz w:val="23"/>
          <w:szCs w:val="23"/>
          <w:effect w:val="blinkBackground"/>
          <w:lang w:val="mn-MN"/>
        </w:rPr>
        <w:t>З</w:t>
      </w:r>
      <w:r>
        <w:rPr>
          <w:rFonts w:cs="Arial" w:eastAsia="Calibri"/>
          <w:sz w:val="23"/>
          <w:szCs w:val="23"/>
          <w:lang w:val="mn-MN"/>
        </w:rPr>
        <w:t xml:space="preserve">.Энхболд Улсын Их Хурлын 2014 оны намрын ээлжит </w:t>
      </w:r>
      <w:r>
        <w:rPr>
          <w:rFonts w:cs="Arial" w:eastAsia="Calibri"/>
          <w:sz w:val="24"/>
          <w:szCs w:val="24"/>
          <w:lang w:val="mn-MN"/>
        </w:rPr>
        <w:t>чуулганы ажиллагаа</w:t>
      </w:r>
      <w:r>
        <w:rPr>
          <w:rFonts w:cs="Arial"/>
          <w:sz w:val="24"/>
          <w:szCs w:val="24"/>
          <w:lang w:val="mn-MN"/>
        </w:rPr>
        <w:t>г нээж үг хэлсний дараа</w:t>
      </w:r>
      <w:r>
        <w:rPr>
          <w:rFonts w:cs="Arial" w:eastAsia="Calibri"/>
          <w:sz w:val="24"/>
          <w:szCs w:val="24"/>
          <w:lang w:val="mn-MN"/>
        </w:rPr>
        <w:t xml:space="preserve"> танхимд Төрийн дуулал эгшиглэхэд Улсын Их Хурлын гишүүд болон нээлтийн ажиллагаанд урилгаар оролцогсод </w:t>
      </w:r>
      <w:r>
        <w:rPr>
          <w:rFonts w:cs="Arial" w:eastAsia="Calibri"/>
          <w:sz w:val="24"/>
          <w:szCs w:val="24"/>
          <w:effect w:val="blinkBackground"/>
          <w:lang w:val="mn-MN"/>
        </w:rPr>
        <w:t>босч</w:t>
      </w:r>
      <w:r>
        <w:rPr>
          <w:rFonts w:cs="Arial" w:eastAsia="Calibri"/>
          <w:sz w:val="24"/>
          <w:szCs w:val="24"/>
          <w:lang w:val="mn-MN"/>
        </w:rPr>
        <w:t xml:space="preserve"> хүндэтгэл үзүүлэв.</w:t>
      </w:r>
    </w:p>
    <w:p>
      <w:pPr>
        <w:pStyle w:val="style35"/>
        <w:shd w:fill="FFFFFF" w:val="clear"/>
        <w:tabs>
          <w:tab w:leader="none" w:pos="506" w:val="left"/>
          <w:tab w:leader="none" w:pos="563" w:val="left"/>
        </w:tabs>
        <w:spacing w:after="0" w:before="0" w:line="200" w:lineRule="atLeast"/>
        <w:ind w:hanging="0" w:left="0" w:right="0"/>
        <w:contextualSpacing w:val="false"/>
        <w:jc w:val="both"/>
      </w:pPr>
      <w:r>
        <w:rPr/>
      </w:r>
    </w:p>
    <w:p>
      <w:pPr>
        <w:pStyle w:val="style35"/>
        <w:shd w:fill="FFFFFF" w:val="clear"/>
        <w:tabs>
          <w:tab w:leader="none" w:pos="506" w:val="left"/>
          <w:tab w:leader="none" w:pos="563" w:val="left"/>
        </w:tabs>
        <w:spacing w:after="0" w:before="0" w:line="200" w:lineRule="atLeast"/>
        <w:ind w:hanging="0" w:left="0" w:right="0"/>
        <w:contextualSpacing w:val="false"/>
        <w:jc w:val="both"/>
      </w:pPr>
      <w:r>
        <w:rPr>
          <w:rFonts w:cs="Arial" w:eastAsia="Calibri"/>
          <w:sz w:val="24"/>
          <w:szCs w:val="24"/>
        </w:rPr>
        <w:tab/>
        <w:t xml:space="preserve">  Хэвлэл, мэдээллийн </w:t>
      </w:r>
      <w:r>
        <w:rPr>
          <w:rFonts w:cs="Arial" w:eastAsia="Calibri"/>
          <w:sz w:val="24"/>
          <w:szCs w:val="24"/>
          <w:lang w:val="mn-MN"/>
        </w:rPr>
        <w:t xml:space="preserve">байгууллагын </w:t>
      </w:r>
      <w:r>
        <w:rPr>
          <w:rFonts w:cs="Arial" w:eastAsia="Calibri"/>
          <w:sz w:val="24"/>
          <w:szCs w:val="24"/>
        </w:rPr>
        <w:t>сурвалжлагч</w:t>
      </w:r>
      <w:r>
        <w:rPr>
          <w:rFonts w:cs="Arial"/>
          <w:sz w:val="24"/>
          <w:szCs w:val="24"/>
          <w:lang w:val="mn-MN"/>
        </w:rPr>
        <w:t xml:space="preserve">, сэтгүүлч, </w:t>
      </w:r>
      <w:r>
        <w:rPr>
          <w:rFonts w:cs="Arial" w:eastAsia="Calibri"/>
          <w:sz w:val="24"/>
          <w:szCs w:val="24"/>
        </w:rPr>
        <w:t>зураглаач</w:t>
      </w:r>
      <w:r>
        <w:rPr>
          <w:rFonts w:cs="Arial"/>
          <w:sz w:val="24"/>
          <w:szCs w:val="24"/>
          <w:lang w:val="mn-MN"/>
        </w:rPr>
        <w:t>ид</w:t>
      </w:r>
      <w:r>
        <w:rPr>
          <w:rFonts w:cs="Arial" w:eastAsia="Calibri"/>
          <w:sz w:val="24"/>
          <w:szCs w:val="24"/>
        </w:rPr>
        <w:t xml:space="preserve"> </w:t>
      </w:r>
      <w:r>
        <w:rPr>
          <w:rFonts w:cs="Arial" w:eastAsia="Calibri"/>
          <w:sz w:val="24"/>
          <w:szCs w:val="24"/>
          <w:lang w:val="mn-MN"/>
        </w:rPr>
        <w:t>чуулганы нээлтийн үйл ажиллагааг сурвалжилж, дамжуулан үзүүлэв.</w:t>
      </w:r>
    </w:p>
    <w:p>
      <w:pPr>
        <w:pStyle w:val="style35"/>
        <w:shd w:fill="FFFFFF" w:val="clear"/>
        <w:tabs>
          <w:tab w:leader="none" w:pos="506" w:val="left"/>
          <w:tab w:leader="none" w:pos="563" w:val="left"/>
        </w:tabs>
        <w:spacing w:after="0" w:before="0" w:line="200" w:lineRule="atLeast"/>
        <w:ind w:hanging="0" w:left="0" w:right="0"/>
        <w:contextualSpacing w:val="false"/>
        <w:jc w:val="both"/>
      </w:pPr>
      <w:r>
        <w:rPr/>
      </w:r>
    </w:p>
    <w:p>
      <w:pPr>
        <w:pStyle w:val="style35"/>
        <w:shd w:fill="FFFFFF" w:val="clear"/>
        <w:tabs>
          <w:tab w:leader="none" w:pos="459" w:val="left"/>
          <w:tab w:leader="none" w:pos="713" w:val="left"/>
        </w:tabs>
        <w:spacing w:after="0" w:before="0" w:line="200" w:lineRule="atLeast"/>
        <w:ind w:hanging="0" w:left="0" w:right="0"/>
        <w:contextualSpacing w:val="false"/>
        <w:jc w:val="both"/>
      </w:pPr>
      <w:r>
        <w:rPr>
          <w:rFonts w:cs="Arial" w:eastAsia="Calibri"/>
          <w:sz w:val="24"/>
          <w:szCs w:val="24"/>
          <w:lang w:val="mn-MN"/>
        </w:rPr>
        <w:tab/>
        <w:t xml:space="preserve">  </w:t>
      </w:r>
      <w:r>
        <w:rPr>
          <w:rStyle w:val="style17"/>
          <w:rFonts w:cs="Arial" w:eastAsia="Arial"/>
          <w:color w:val="000000"/>
          <w:sz w:val="24"/>
          <w:szCs w:val="24"/>
          <w:lang w:val="mn-MN"/>
        </w:rPr>
        <w:t>Энэ өдрийн хуралдааны бэлтгэл, зохион байгуулалтын үйл ажиллагааг хариуцан Улсын Их Хурлын Тамгын газрын Хуралдаан зохион байгуулах хэлтсийн референт Г.Баяртуяа, шинжээч А.Болортуяа, Б.Баярсайхан нар ажиллав.</w:t>
      </w:r>
    </w:p>
    <w:p>
      <w:pPr>
        <w:pStyle w:val="style35"/>
        <w:shd w:fill="FFFFFF" w:val="clear"/>
        <w:tabs>
          <w:tab w:leader="none" w:pos="459" w:val="left"/>
          <w:tab w:leader="none" w:pos="713" w:val="left"/>
        </w:tabs>
        <w:spacing w:after="0" w:before="0" w:line="200" w:lineRule="atLeast"/>
        <w:ind w:hanging="0" w:left="0" w:right="0"/>
        <w:contextualSpacing w:val="false"/>
        <w:jc w:val="both"/>
      </w:pPr>
      <w:r>
        <w:rPr/>
      </w:r>
    </w:p>
    <w:p>
      <w:pPr>
        <w:pStyle w:val="style35"/>
        <w:shd w:fill="FFFFFF" w:val="clear"/>
        <w:tabs>
          <w:tab w:leader="none" w:pos="459" w:val="left"/>
          <w:tab w:leader="none" w:pos="713" w:val="left"/>
        </w:tabs>
        <w:spacing w:after="0" w:before="0" w:line="200" w:lineRule="atLeast"/>
        <w:ind w:hanging="0" w:left="0" w:right="0"/>
        <w:contextualSpacing w:val="false"/>
        <w:jc w:val="both"/>
      </w:pPr>
      <w:r>
        <w:rPr>
          <w:rFonts w:cs="Arial" w:eastAsia="Calibri"/>
          <w:sz w:val="24"/>
          <w:szCs w:val="24"/>
          <w:lang w:val="mn-MN"/>
        </w:rPr>
        <w:tab/>
      </w:r>
      <w:r>
        <w:rPr>
          <w:rFonts w:cs="Arial" w:eastAsia="Calibri"/>
          <w:b/>
          <w:bCs/>
          <w:i/>
          <w:iCs/>
          <w:sz w:val="24"/>
          <w:szCs w:val="24"/>
          <w:lang w:val="mn-MN"/>
        </w:rPr>
        <w:t>Хуралдааны нээлт 11 цаг 59 минутад өндөрлөв.</w:t>
      </w:r>
    </w:p>
    <w:p>
      <w:pPr>
        <w:pStyle w:val="style35"/>
        <w:shd w:fill="FFFFFF" w:val="clear"/>
        <w:tabs>
          <w:tab w:leader="none" w:pos="459" w:val="left"/>
          <w:tab w:leader="none" w:pos="713" w:val="left"/>
        </w:tabs>
        <w:spacing w:after="0" w:before="0" w:line="200" w:lineRule="atLeast"/>
        <w:ind w:hanging="0" w:left="0" w:right="0"/>
        <w:contextualSpacing w:val="false"/>
        <w:jc w:val="both"/>
      </w:pPr>
      <w:r>
        <w:rPr/>
      </w:r>
    </w:p>
    <w:p>
      <w:pPr>
        <w:pStyle w:val="style35"/>
        <w:shd w:fill="FFFFFF" w:val="clear"/>
        <w:tabs>
          <w:tab w:leader="none" w:pos="459" w:val="left"/>
          <w:tab w:leader="none" w:pos="713" w:val="left"/>
        </w:tabs>
        <w:spacing w:after="0" w:before="0" w:line="200" w:lineRule="atLeast"/>
        <w:ind w:hanging="0" w:left="0" w:right="0"/>
        <w:contextualSpacing w:val="false"/>
        <w:jc w:val="both"/>
      </w:pPr>
      <w:r>
        <w:rPr>
          <w:rFonts w:cs="Arial" w:eastAsia="Calibri"/>
          <w:b/>
          <w:bCs/>
          <w:i/>
          <w:iCs/>
          <w:sz w:val="24"/>
          <w:szCs w:val="24"/>
          <w:lang w:val="mn-MN"/>
        </w:rPr>
        <w:tab/>
        <w:t>Тэмдэглэлтэй танилцсан:</w:t>
      </w:r>
    </w:p>
    <w:p>
      <w:pPr>
        <w:pStyle w:val="style35"/>
        <w:shd w:fill="FFFFFF" w:val="clear"/>
        <w:tabs>
          <w:tab w:leader="none" w:pos="459" w:val="left"/>
          <w:tab w:leader="none" w:pos="713" w:val="left"/>
        </w:tabs>
        <w:spacing w:after="0" w:before="0" w:line="200" w:lineRule="atLeast"/>
        <w:ind w:hanging="0" w:left="0" w:right="0"/>
        <w:contextualSpacing w:val="false"/>
        <w:jc w:val="both"/>
      </w:pPr>
      <w:r>
        <w:rPr>
          <w:rFonts w:cs="Arial" w:eastAsia="Calibri"/>
          <w:b/>
          <w:bCs/>
          <w:i/>
          <w:iCs/>
          <w:sz w:val="24"/>
          <w:szCs w:val="24"/>
          <w:lang w:val="mn-MN"/>
        </w:rPr>
        <w:tab/>
      </w:r>
      <w:r>
        <w:rPr>
          <w:rFonts w:cs="Arial" w:eastAsia="Calibri"/>
          <w:b w:val="false"/>
          <w:bCs w:val="false"/>
          <w:i w:val="false"/>
          <w:iCs w:val="false"/>
          <w:sz w:val="24"/>
          <w:szCs w:val="24"/>
          <w:lang w:val="mn-MN"/>
        </w:rPr>
        <w:t>ТАМГЫН ГАЗРЫН ЕРӨНХИЙ</w:t>
      </w:r>
    </w:p>
    <w:p>
      <w:pPr>
        <w:pStyle w:val="style35"/>
        <w:shd w:fill="FFFFFF" w:val="clear"/>
        <w:tabs>
          <w:tab w:leader="none" w:pos="459" w:val="left"/>
          <w:tab w:leader="none" w:pos="713" w:val="left"/>
        </w:tabs>
        <w:spacing w:after="0" w:before="0" w:line="200" w:lineRule="atLeast"/>
        <w:ind w:hanging="0" w:left="0" w:right="0"/>
        <w:contextualSpacing w:val="false"/>
        <w:jc w:val="both"/>
      </w:pPr>
      <w:r>
        <w:rPr>
          <w:rFonts w:cs="Arial" w:eastAsia="Calibri"/>
          <w:b w:val="false"/>
          <w:bCs w:val="false"/>
          <w:i w:val="false"/>
          <w:iCs w:val="false"/>
          <w:sz w:val="24"/>
          <w:szCs w:val="24"/>
          <w:lang w:val="mn-MN"/>
        </w:rPr>
        <w:tab/>
        <w:t>НАРИЙН БИЧГИЙН ДАРГА</w:t>
        <w:tab/>
        <w:tab/>
        <w:tab/>
        <w:tab/>
        <w:tab/>
        <w:tab/>
        <w:t>Б.БОЛДБААТАР</w:t>
      </w:r>
    </w:p>
    <w:p>
      <w:pPr>
        <w:pStyle w:val="style35"/>
        <w:shd w:fill="FFFFFF" w:val="clear"/>
        <w:tabs>
          <w:tab w:leader="none" w:pos="459" w:val="left"/>
          <w:tab w:leader="none" w:pos="713" w:val="left"/>
        </w:tabs>
        <w:spacing w:after="0" w:before="0" w:line="200" w:lineRule="atLeast"/>
        <w:ind w:hanging="0" w:left="0" w:right="0"/>
        <w:contextualSpacing w:val="false"/>
        <w:jc w:val="both"/>
      </w:pPr>
      <w:r>
        <w:rPr/>
      </w:r>
    </w:p>
    <w:p>
      <w:pPr>
        <w:pStyle w:val="style35"/>
        <w:shd w:fill="FFFFFF" w:val="clear"/>
        <w:tabs>
          <w:tab w:leader="none" w:pos="459" w:val="left"/>
          <w:tab w:leader="none" w:pos="713" w:val="left"/>
        </w:tabs>
        <w:spacing w:after="0" w:before="0" w:line="200" w:lineRule="atLeast"/>
        <w:ind w:hanging="0" w:left="0" w:right="0"/>
        <w:contextualSpacing w:val="false"/>
        <w:jc w:val="both"/>
      </w:pPr>
      <w:r>
        <w:rPr>
          <w:rFonts w:cs="Arial" w:eastAsia="Calibri"/>
          <w:b w:val="false"/>
          <w:bCs w:val="false"/>
          <w:i w:val="false"/>
          <w:iCs w:val="false"/>
          <w:sz w:val="24"/>
          <w:szCs w:val="24"/>
          <w:lang w:val="mn-MN"/>
        </w:rPr>
        <w:tab/>
      </w:r>
      <w:r>
        <w:rPr>
          <w:rFonts w:cs="Arial" w:eastAsia="Calibri"/>
          <w:b/>
          <w:bCs/>
          <w:i/>
          <w:iCs/>
          <w:sz w:val="24"/>
          <w:szCs w:val="24"/>
          <w:lang w:val="mn-MN"/>
        </w:rPr>
        <w:t>Тэмдэглэл хөтөлсөн:</w:t>
      </w:r>
    </w:p>
    <w:p>
      <w:pPr>
        <w:pStyle w:val="style35"/>
        <w:shd w:fill="FFFFFF" w:val="clear"/>
        <w:tabs>
          <w:tab w:leader="none" w:pos="459" w:val="left"/>
          <w:tab w:leader="none" w:pos="713" w:val="left"/>
        </w:tabs>
        <w:spacing w:after="0" w:before="0" w:line="200" w:lineRule="atLeast"/>
        <w:ind w:hanging="0" w:left="0" w:right="0"/>
        <w:contextualSpacing w:val="false"/>
        <w:jc w:val="both"/>
      </w:pPr>
      <w:r>
        <w:rPr>
          <w:rFonts w:cs="Arial" w:eastAsia="Calibri"/>
          <w:b w:val="false"/>
          <w:bCs w:val="false"/>
          <w:i w:val="false"/>
          <w:iCs w:val="false"/>
          <w:sz w:val="24"/>
          <w:szCs w:val="24"/>
          <w:lang w:val="mn-MN"/>
        </w:rPr>
        <w:tab/>
        <w:t>ПРОТОКОЛЫН АЛБАНЫ</w:t>
      </w:r>
    </w:p>
    <w:p>
      <w:pPr>
        <w:pStyle w:val="style35"/>
        <w:shd w:fill="FFFFFF" w:val="clear"/>
        <w:tabs>
          <w:tab w:leader="none" w:pos="459" w:val="left"/>
          <w:tab w:leader="none" w:pos="713" w:val="left"/>
        </w:tabs>
        <w:spacing w:after="0" w:before="0" w:line="200" w:lineRule="atLeast"/>
        <w:ind w:hanging="0" w:left="0" w:right="0"/>
        <w:contextualSpacing w:val="false"/>
        <w:jc w:val="both"/>
      </w:pPr>
      <w:r>
        <w:rPr>
          <w:rFonts w:cs="Arial" w:eastAsia="Calibri"/>
          <w:b w:val="false"/>
          <w:bCs w:val="false"/>
          <w:i w:val="false"/>
          <w:iCs w:val="false"/>
          <w:sz w:val="24"/>
          <w:szCs w:val="24"/>
          <w:lang w:val="mn-MN"/>
        </w:rPr>
        <w:tab/>
        <w:t>ШИНЖЭЭЧ</w:t>
        <w:tab/>
        <w:tab/>
        <w:tab/>
        <w:tab/>
        <w:tab/>
        <w:tab/>
        <w:tab/>
        <w:tab/>
        <w:t>Д.ЭНЭБИШ</w:t>
      </w:r>
    </w:p>
    <w:p>
      <w:pPr>
        <w:pStyle w:val="style35"/>
        <w:shd w:fill="FFFFFF" w:val="clear"/>
        <w:spacing w:after="0" w:before="0" w:line="200" w:lineRule="atLeast"/>
        <w:ind w:hanging="0" w:left="0" w:right="0"/>
        <w:contextualSpacing w:val="false"/>
        <w:jc w:val="center"/>
      </w:pPr>
      <w:r>
        <w:rPr/>
      </w:r>
    </w:p>
    <w:p>
      <w:pPr>
        <w:pStyle w:val="style35"/>
        <w:shd w:fill="FFFFFF" w:val="clear"/>
        <w:spacing w:after="0" w:before="0" w:line="200" w:lineRule="atLeast"/>
        <w:ind w:hanging="0" w:left="0" w:right="0"/>
        <w:contextualSpacing w:val="false"/>
        <w:jc w:val="center"/>
      </w:pPr>
      <w:r>
        <w:rPr/>
      </w:r>
    </w:p>
    <w:p>
      <w:pPr>
        <w:pStyle w:val="style35"/>
        <w:shd w:fill="FFFFFF" w:val="clear"/>
        <w:spacing w:after="0" w:before="0" w:line="200" w:lineRule="atLeast"/>
        <w:ind w:hanging="0" w:left="0" w:right="0"/>
        <w:contextualSpacing w:val="false"/>
        <w:jc w:val="center"/>
      </w:pPr>
      <w:r>
        <w:rPr/>
      </w:r>
    </w:p>
    <w:p>
      <w:pPr>
        <w:pStyle w:val="style35"/>
        <w:spacing w:after="0" w:before="0" w:line="100" w:lineRule="atLeast"/>
        <w:ind w:firstLine="57" w:left="-57" w:right="-113"/>
        <w:contextualSpacing w:val="false"/>
        <w:jc w:val="center"/>
      </w:pPr>
      <w:r>
        <w:rPr>
          <w:rFonts w:cs="Arial"/>
          <w:b/>
          <w:sz w:val="24"/>
          <w:szCs w:val="24"/>
          <w:lang w:val="mn-MN"/>
        </w:rPr>
        <w:t xml:space="preserve">МОНГОЛ УЛСЫН ИХ ХУРЛЫН </w:t>
      </w:r>
      <w:r>
        <w:rPr>
          <w:rFonts w:cs="Arial"/>
          <w:b/>
          <w:bCs/>
          <w:sz w:val="24"/>
          <w:szCs w:val="24"/>
          <w:lang w:val="mn-MN"/>
        </w:rPr>
        <w:t xml:space="preserve">2014 ОНЫ НАМРЫН </w:t>
      </w:r>
      <w:r>
        <w:rPr>
          <w:rFonts w:cs="Arial"/>
          <w:b/>
          <w:sz w:val="24"/>
          <w:szCs w:val="24"/>
          <w:lang w:val="mn-MN"/>
        </w:rPr>
        <w:t xml:space="preserve">ЭЭЛЖИТ </w:t>
      </w:r>
    </w:p>
    <w:p>
      <w:pPr>
        <w:pStyle w:val="style35"/>
        <w:spacing w:after="0" w:before="0" w:line="100" w:lineRule="atLeast"/>
        <w:ind w:firstLine="57" w:left="-57" w:right="-113"/>
        <w:contextualSpacing w:val="false"/>
        <w:jc w:val="center"/>
      </w:pPr>
      <w:r>
        <w:rPr>
          <w:rFonts w:cs="Arial"/>
          <w:b/>
          <w:bCs/>
          <w:sz w:val="24"/>
          <w:szCs w:val="24"/>
          <w:lang w:val="mn-MN"/>
        </w:rPr>
        <w:t>Ч</w:t>
      </w:r>
      <w:r>
        <w:rPr>
          <w:rFonts w:cs="Arial"/>
          <w:b/>
          <w:bCs/>
          <w:sz w:val="24"/>
          <w:szCs w:val="24"/>
        </w:rPr>
        <w:t>УУЛГАНЫ</w:t>
      </w:r>
      <w:r>
        <w:rPr>
          <w:rFonts w:cs="Arial"/>
          <w:b/>
          <w:bCs/>
          <w:sz w:val="24"/>
          <w:szCs w:val="24"/>
          <w:lang w:val="mn-MN"/>
        </w:rPr>
        <w:t xml:space="preserve"> 10 ДУГААР </w:t>
      </w:r>
      <w:r>
        <w:rPr>
          <w:rFonts w:cs="Arial"/>
          <w:b/>
          <w:bCs/>
          <w:sz w:val="24"/>
          <w:szCs w:val="24"/>
        </w:rPr>
        <w:t>САРЫН</w:t>
      </w:r>
      <w:r>
        <w:rPr>
          <w:rFonts w:cs="Arial"/>
          <w:b/>
          <w:bCs/>
          <w:sz w:val="24"/>
          <w:szCs w:val="24"/>
          <w:lang w:val="mn-MN"/>
        </w:rPr>
        <w:t xml:space="preserve"> 01-НИЙ</w:t>
      </w:r>
      <w:r>
        <w:rPr>
          <w:rFonts w:cs="Arial"/>
          <w:b/>
          <w:bCs/>
          <w:sz w:val="24"/>
          <w:szCs w:val="24"/>
        </w:rPr>
        <w:t xml:space="preserve"> ӨДӨР (</w:t>
      </w:r>
      <w:r>
        <w:rPr>
          <w:rFonts w:cs="Arial"/>
          <w:b/>
          <w:bCs/>
          <w:sz w:val="24"/>
          <w:szCs w:val="24"/>
          <w:lang w:val="mn-MN"/>
        </w:rPr>
        <w:t>ЛХАГВА</w:t>
      </w:r>
      <w:r>
        <w:rPr>
          <w:rFonts w:cs="Arial"/>
          <w:b/>
          <w:bCs/>
          <w:sz w:val="24"/>
          <w:szCs w:val="24"/>
        </w:rPr>
        <w:t xml:space="preserve"> </w:t>
      </w:r>
      <w:r>
        <w:rPr>
          <w:rFonts w:cs="Arial"/>
          <w:b/>
          <w:bCs/>
          <w:sz w:val="24"/>
          <w:szCs w:val="24"/>
          <w:lang w:val="mn-MN"/>
        </w:rPr>
        <w:t>ГАРАГ</w:t>
      </w:r>
      <w:r>
        <w:rPr>
          <w:rFonts w:cs="Arial"/>
          <w:b/>
          <w:bCs/>
          <w:sz w:val="24"/>
          <w:szCs w:val="24"/>
        </w:rPr>
        <w:t xml:space="preserve">)-ИЙН НЭГДСЭН ХУРАЛДААНЫ ДЭЛГЭРЭНГҮЙ </w:t>
      </w:r>
      <w:r>
        <w:rPr>
          <w:rFonts w:cs="Arial"/>
          <w:b/>
          <w:bCs w:val="false"/>
          <w:sz w:val="24"/>
          <w:szCs w:val="24"/>
        </w:rPr>
        <w:t>ТЭМДЭГЛЭЛ</w:t>
      </w:r>
    </w:p>
    <w:p>
      <w:pPr>
        <w:pStyle w:val="style35"/>
        <w:jc w:val="center"/>
      </w:pPr>
      <w:r>
        <w:rPr/>
      </w:r>
    </w:p>
    <w:p>
      <w:pPr>
        <w:pStyle w:val="style35"/>
        <w:spacing w:after="0" w:before="0" w:line="200" w:lineRule="atLeast"/>
        <w:ind w:hanging="0" w:left="0" w:right="0"/>
        <w:contextualSpacing w:val="false"/>
        <w:jc w:val="both"/>
      </w:pPr>
      <w:r>
        <w:rPr>
          <w:rFonts w:cs="Arial"/>
          <w:b w:val="false"/>
          <w:bCs w:val="false"/>
          <w:sz w:val="24"/>
          <w:szCs w:val="24"/>
        </w:rPr>
        <w:tab/>
      </w:r>
      <w:r>
        <w:rPr>
          <w:rFonts w:cs="Arial"/>
          <w:b/>
          <w:bCs/>
          <w:sz w:val="24"/>
          <w:szCs w:val="24"/>
          <w:lang w:val="mn-MN"/>
        </w:rPr>
        <w:t>З.Энхболд:</w:t>
      </w:r>
      <w:r>
        <w:rPr>
          <w:rFonts w:cs="Arial"/>
          <w:b w:val="false"/>
          <w:bCs w:val="false"/>
          <w:sz w:val="24"/>
          <w:szCs w:val="24"/>
          <w:lang w:val="mn-MN"/>
        </w:rPr>
        <w:t xml:space="preserve"> -Гишүүдэд өглөөний мэнд хүргэе. Ирсэн гишүүд картаа хийгээд, ирцэнд бүртгүүлээд, Улсын Их Хурлын 2014 оны намрын ээлжит чуулганы хуралдаан ирц ирвэл зохих 76 гишүүнээс гадаад, дотоодод томилолттой 6 гишүүн, 51 гишүүн хүрэлцэн ирж ирц 67.1 хувийн ирцтэй байгаа учраас нээснийг мэдэгдье.</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b w:val="false"/>
          <w:bCs w:val="false"/>
          <w:sz w:val="24"/>
          <w:szCs w:val="24"/>
          <w:lang w:val="mn-MN"/>
        </w:rPr>
        <w:tab/>
      </w:r>
      <w:r>
        <w:rPr>
          <w:rFonts w:cs="Arial"/>
          <w:sz w:val="24"/>
          <w:szCs w:val="24"/>
        </w:rPr>
        <w:t>Монгол Улсын Ерөнхий сайд аа,</w:t>
      </w:r>
    </w:p>
    <w:p>
      <w:pPr>
        <w:pStyle w:val="style35"/>
        <w:spacing w:after="0" w:before="0" w:line="200" w:lineRule="atLeast"/>
        <w:ind w:hanging="0" w:left="0" w:right="0"/>
        <w:contextualSpacing w:val="false"/>
        <w:jc w:val="both"/>
      </w:pPr>
      <w:r>
        <w:rPr>
          <w:rFonts w:cs="Arial"/>
          <w:sz w:val="24"/>
          <w:szCs w:val="24"/>
        </w:rPr>
        <w:tab/>
      </w:r>
      <w:r>
        <w:rPr>
          <w:rFonts w:cs="Arial"/>
          <w:sz w:val="24"/>
          <w:szCs w:val="24"/>
          <w:lang w:val="mn-MN"/>
        </w:rPr>
        <w:t>Улсын Их Хурл</w:t>
      </w:r>
      <w:r>
        <w:rPr>
          <w:rFonts w:cs="Arial"/>
          <w:sz w:val="24"/>
          <w:szCs w:val="24"/>
        </w:rPr>
        <w:t>ын эрхэм гишүүд ээ,</w:t>
      </w:r>
    </w:p>
    <w:p>
      <w:pPr>
        <w:pStyle w:val="style35"/>
        <w:spacing w:after="0" w:before="0" w:line="200" w:lineRule="atLeast"/>
        <w:ind w:hanging="0" w:left="0" w:right="0"/>
        <w:contextualSpacing w:val="false"/>
        <w:jc w:val="both"/>
      </w:pPr>
      <w:r>
        <w:rPr>
          <w:rFonts w:cs="Arial"/>
          <w:sz w:val="24"/>
          <w:szCs w:val="24"/>
        </w:rPr>
        <w:tab/>
        <w:t>Хүндэт зочид оо,</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lang w:val="en-US"/>
        </w:rPr>
        <w:t xml:space="preserve">  </w:t>
      </w:r>
      <w:r>
        <w:rPr>
          <w:rFonts w:cs="Arial"/>
          <w:sz w:val="24"/>
          <w:szCs w:val="24"/>
          <w:lang w:val="en-US"/>
        </w:rPr>
        <w:tab/>
        <w:t xml:space="preserve"> Өнөөдөр </w:t>
      </w:r>
      <w:r>
        <w:rPr>
          <w:rFonts w:cs="Arial"/>
          <w:sz w:val="24"/>
          <w:szCs w:val="24"/>
        </w:rPr>
        <w:t xml:space="preserve">Улсын Их Хурлын 2014 оны </w:t>
      </w:r>
      <w:r>
        <w:rPr>
          <w:rFonts w:cs="Arial"/>
          <w:sz w:val="24"/>
          <w:szCs w:val="24"/>
          <w:lang w:val="en-US"/>
        </w:rPr>
        <w:t xml:space="preserve">намрын </w:t>
      </w:r>
      <w:r>
        <w:rPr>
          <w:rFonts w:cs="Arial"/>
          <w:sz w:val="24"/>
          <w:szCs w:val="24"/>
          <w:lang w:val="mn-MN"/>
        </w:rPr>
        <w:t>ээлжит</w:t>
      </w:r>
      <w:r>
        <w:rPr>
          <w:rFonts w:cs="Arial"/>
          <w:sz w:val="24"/>
          <w:szCs w:val="24"/>
          <w:lang w:val="en-US"/>
        </w:rPr>
        <w:t xml:space="preserve"> </w:t>
      </w:r>
      <w:r>
        <w:rPr>
          <w:rFonts w:cs="Arial"/>
          <w:sz w:val="24"/>
          <w:szCs w:val="24"/>
        </w:rPr>
        <w:t>чуулган  эхэлж байна. Хаврын чуулганы завсарлагааны хугацаа</w:t>
      </w:r>
      <w:r>
        <w:rPr>
          <w:rFonts w:cs="Arial"/>
          <w:sz w:val="24"/>
          <w:szCs w:val="24"/>
          <w:lang w:val="en-US"/>
        </w:rPr>
        <w:t>нд</w:t>
      </w:r>
      <w:r>
        <w:rPr>
          <w:rFonts w:cs="Arial"/>
          <w:sz w:val="24"/>
          <w:szCs w:val="24"/>
        </w:rPr>
        <w:t xml:space="preserve"> </w:t>
      </w:r>
      <w:r>
        <w:rPr>
          <w:rFonts w:cs="Arial"/>
          <w:sz w:val="24"/>
          <w:szCs w:val="24"/>
          <w:lang w:val="en-US"/>
        </w:rPr>
        <w:t xml:space="preserve">Монгол Улсын гадаад харилцаа томоохон үйл явдлаар дүүрэн байлаа. </w:t>
      </w:r>
      <w:r>
        <w:rPr>
          <w:rFonts w:cs="Arial"/>
          <w:sz w:val="24"/>
          <w:szCs w:val="24"/>
        </w:rPr>
        <w:t>Монгол Улсын Ерөнхийлөгч Цахиагийн Элбэгдоржийн урилгаар манай хоёр хөрш орны тэргүүн БНХАУ-ын дарга ноён Си Зиньпин</w:t>
      </w:r>
      <w:r>
        <w:rPr>
          <w:rFonts w:cs="Arial"/>
          <w:sz w:val="24"/>
          <w:szCs w:val="24"/>
          <w:lang w:val="en-US"/>
        </w:rPr>
        <w:t xml:space="preserve">, </w:t>
      </w:r>
      <w:r>
        <w:rPr>
          <w:rFonts w:cs="Arial"/>
          <w:sz w:val="24"/>
          <w:szCs w:val="24"/>
        </w:rPr>
        <w:t>Оросын Холбооны Улсын Ерөнхийлөгч ноён Владимир Владимирович Путин</w:t>
      </w:r>
      <w:r>
        <w:rPr>
          <w:rFonts w:cs="Arial"/>
          <w:sz w:val="24"/>
          <w:szCs w:val="24"/>
          <w:lang w:val="en-US"/>
        </w:rPr>
        <w:t xml:space="preserve"> нар Монгол Улсад айлчлал хийлээ. </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rPr>
        <w:t xml:space="preserve">   </w:t>
      </w:r>
      <w:r>
        <w:rPr>
          <w:rFonts w:cs="Arial"/>
          <w:sz w:val="24"/>
          <w:szCs w:val="24"/>
        </w:rPr>
        <w:tab/>
        <w:t>БНХАУ-ын дарга ноён Си Зиньпин</w:t>
      </w:r>
      <w:r>
        <w:rPr>
          <w:rFonts w:cs="Arial"/>
          <w:sz w:val="24"/>
          <w:szCs w:val="24"/>
          <w:lang w:val="en-US"/>
        </w:rPr>
        <w:t xml:space="preserve"> Монгол Улсын Их Хурлын Хүндэтгэлийн хуралдаанд элэгсэг дотно үг хэлж, төрийн айлчлалын хүрээнд </w:t>
      </w:r>
      <w:r>
        <w:rPr>
          <w:rFonts w:cs="Arial"/>
          <w:sz w:val="24"/>
          <w:szCs w:val="24"/>
        </w:rPr>
        <w:t xml:space="preserve"> Монгол Улс, БНХАУ-ын хооронд иж бүрэн стратегийн түншлэлийн харилцаа хөгжүүлэх тухай хамтарсан тунхаглал гаргаж, хоёр орны Засгийн газар</w:t>
      </w:r>
      <w:r>
        <w:rPr>
          <w:rFonts w:cs="Arial"/>
          <w:sz w:val="24"/>
          <w:szCs w:val="24"/>
          <w:lang w:val="en-US"/>
        </w:rPr>
        <w:t xml:space="preserve"> болон аж ахуйн нэгжүүдийн </w:t>
      </w:r>
      <w:r>
        <w:rPr>
          <w:rFonts w:cs="Arial"/>
          <w:sz w:val="24"/>
          <w:szCs w:val="24"/>
        </w:rPr>
        <w:t>хооронд Төмөр замын дамжин өнгөрөх тээвэр, далайн боомтыг ашиглах, худалдаа эдийн засаг, нийгмийн салбарыг хөгжүүлэх 24 баримт бичиг</w:t>
      </w:r>
      <w:r>
        <w:rPr>
          <w:rFonts w:cs="Arial"/>
          <w:sz w:val="24"/>
          <w:szCs w:val="24"/>
          <w:lang w:val="en-US"/>
        </w:rPr>
        <w:t>т</w:t>
      </w:r>
      <w:r>
        <w:rPr>
          <w:rFonts w:cs="Arial"/>
          <w:sz w:val="24"/>
          <w:szCs w:val="24"/>
        </w:rPr>
        <w:t xml:space="preserve"> гарын үсэг зурлаа.</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rPr>
        <w:t xml:space="preserve">   </w:t>
      </w:r>
      <w:r>
        <w:rPr>
          <w:rFonts w:cs="Arial"/>
          <w:sz w:val="24"/>
          <w:szCs w:val="24"/>
        </w:rPr>
        <w:tab/>
        <w:t xml:space="preserve">Оросын Холбооны Улсын Ерөнхийлөгчийн </w:t>
      </w:r>
      <w:r>
        <w:rPr>
          <w:rFonts w:cs="Arial"/>
          <w:sz w:val="24"/>
          <w:szCs w:val="24"/>
          <w:lang w:val="en-US"/>
        </w:rPr>
        <w:t xml:space="preserve">ажлын </w:t>
      </w:r>
      <w:r>
        <w:rPr>
          <w:rFonts w:cs="Arial"/>
          <w:sz w:val="24"/>
          <w:szCs w:val="24"/>
        </w:rPr>
        <w:t>айлчлалын хүрээнд хоёр орны иргэд харилцан визгүй зорчих асуудал бүрэн шийдэгдэж, “Улаанбаатар төмөр зам” Х</w:t>
      </w:r>
      <w:r>
        <w:rPr>
          <w:rFonts w:cs="Arial"/>
          <w:sz w:val="24"/>
          <w:szCs w:val="24"/>
          <w:lang w:val="en-US"/>
        </w:rPr>
        <w:t>увь нийлүүлсэн нийгэмлэг</w:t>
      </w:r>
      <w:r>
        <w:rPr>
          <w:rFonts w:cs="Arial"/>
          <w:sz w:val="24"/>
          <w:szCs w:val="24"/>
        </w:rPr>
        <w:t xml:space="preserve">ийн шинэчлэл, хөгжлийн стратегийн түншлэлийн хэлэлцээр байгуулагдаж, төмөр замыг цахилгаанжуулах, хос болгох ажлыг цаг алдалгүй эхлүүлэхээр боллоо. Халхын голын ялалтын 75 жилийн ойг хамтран тэмдэглэлээ. Олон салбарыг хамарсан </w:t>
      </w:r>
      <w:r>
        <w:rPr>
          <w:rFonts w:cs="Arial"/>
          <w:sz w:val="24"/>
          <w:szCs w:val="24"/>
          <w:lang w:val="en-US"/>
        </w:rPr>
        <w:t xml:space="preserve">Засгийн газар хоорондын нийт </w:t>
      </w:r>
      <w:r>
        <w:rPr>
          <w:rFonts w:cs="Arial"/>
          <w:sz w:val="24"/>
          <w:szCs w:val="24"/>
        </w:rPr>
        <w:t>15</w:t>
      </w:r>
      <w:r>
        <w:rPr>
          <w:rFonts w:cs="Arial"/>
          <w:sz w:val="24"/>
          <w:szCs w:val="24"/>
          <w:lang w:val="en-US"/>
        </w:rPr>
        <w:t xml:space="preserve"> </w:t>
      </w:r>
      <w:r>
        <w:rPr>
          <w:rFonts w:cs="Arial"/>
          <w:sz w:val="24"/>
          <w:szCs w:val="24"/>
          <w:lang w:val="mn-MN"/>
        </w:rPr>
        <w:t>бичиг баримтад</w:t>
      </w:r>
      <w:r>
        <w:rPr>
          <w:rFonts w:cs="Arial"/>
          <w:sz w:val="24"/>
          <w:szCs w:val="24"/>
        </w:rPr>
        <w:t xml:space="preserve"> гарын үсэг зурлаа.</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lang w:val="en-US"/>
        </w:rPr>
        <w:t xml:space="preserve">   </w:t>
      </w:r>
      <w:r>
        <w:rPr>
          <w:rFonts w:cs="Arial"/>
          <w:sz w:val="24"/>
          <w:szCs w:val="24"/>
          <w:lang w:val="en-US"/>
        </w:rPr>
        <w:tab/>
        <w:t>Эдгээр айлчлалууд нь манай орны хөрш хоёр оронтой</w:t>
      </w:r>
      <w:r>
        <w:rPr>
          <w:rFonts w:cs="Arial"/>
          <w:sz w:val="24"/>
          <w:szCs w:val="24"/>
          <w:lang w:val="mn-MN"/>
        </w:rPr>
        <w:t>гоо</w:t>
      </w:r>
      <w:r>
        <w:rPr>
          <w:rFonts w:cs="Arial"/>
          <w:sz w:val="24"/>
          <w:szCs w:val="24"/>
          <w:lang w:val="en-US"/>
        </w:rPr>
        <w:t xml:space="preserve"> харилцах харилцаанд шинэ үе шатыг эхлүүлсэн түүхэн үйл явдал болсныг онцлон тэмдэглэж байна. </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lang w:val="en-US"/>
        </w:rPr>
        <w:t xml:space="preserve">   </w:t>
      </w:r>
      <w:r>
        <w:rPr>
          <w:rFonts w:cs="Arial"/>
          <w:sz w:val="24"/>
          <w:szCs w:val="24"/>
          <w:lang w:val="en-US"/>
        </w:rPr>
        <w:tab/>
        <w:t xml:space="preserve">Хоёр том гүрний дунд оршиж байгаа манай орны хувьд газар зүйн байршлын давуу талаа ашиглан төмөр замын, авто замын, нефтийн болон хийн хоолойн, эрчим хүчний, интернетийн шилэн кабелийн дамжин өнгөрөх стратегийн зорилтыг хэрэгжүүлэхийн төлөө идэвхтэй, </w:t>
      </w:r>
      <w:r>
        <w:rPr>
          <w:rFonts w:cs="Arial"/>
          <w:sz w:val="24"/>
          <w:szCs w:val="24"/>
          <w:lang w:val="mn-MN"/>
        </w:rPr>
        <w:t>санаачилгатай</w:t>
      </w:r>
      <w:r>
        <w:rPr>
          <w:rFonts w:cs="Arial"/>
          <w:sz w:val="24"/>
          <w:szCs w:val="24"/>
          <w:lang w:val="en-US"/>
        </w:rPr>
        <w:t xml:space="preserve"> ажиллах цаг хугацаа тохиож байна.</w:t>
      </w:r>
    </w:p>
    <w:p>
      <w:pPr>
        <w:pStyle w:val="style35"/>
        <w:spacing w:after="0" w:before="0" w:line="200" w:lineRule="atLeast"/>
        <w:ind w:hanging="0" w:left="0" w:right="0"/>
        <w:contextualSpacing w:val="false"/>
        <w:jc w:val="both"/>
      </w:pPr>
      <w:r>
        <w:rPr>
          <w:rFonts w:cs="Arial"/>
          <w:sz w:val="24"/>
          <w:szCs w:val="24"/>
          <w:lang w:val="en-US"/>
        </w:rPr>
        <w:t xml:space="preserve">    </w:t>
      </w:r>
      <w:r>
        <w:rPr>
          <w:rFonts w:cs="Arial"/>
          <w:sz w:val="24"/>
          <w:szCs w:val="24"/>
          <w:lang w:val="en-US"/>
        </w:rPr>
        <w:tab/>
      </w:r>
    </w:p>
    <w:p>
      <w:pPr>
        <w:pStyle w:val="style35"/>
        <w:spacing w:after="0" w:before="0" w:line="200" w:lineRule="atLeast"/>
        <w:ind w:hanging="0" w:left="0" w:right="0"/>
        <w:contextualSpacing w:val="false"/>
        <w:jc w:val="both"/>
      </w:pPr>
      <w:r>
        <w:rPr>
          <w:rFonts w:cs="Arial"/>
          <w:sz w:val="24"/>
          <w:szCs w:val="24"/>
          <w:lang w:val="en-US"/>
        </w:rPr>
        <w:tab/>
        <w:t xml:space="preserve">Энэ сарын сүүлчээр </w:t>
      </w:r>
      <w:r>
        <w:rPr>
          <w:rFonts w:cs="Arial"/>
          <w:sz w:val="24"/>
          <w:szCs w:val="24"/>
          <w:lang w:val="mn-MN"/>
        </w:rPr>
        <w:t>Улсын Их Хурлын</w:t>
      </w:r>
      <w:r>
        <w:rPr>
          <w:rFonts w:cs="Arial"/>
          <w:sz w:val="24"/>
          <w:szCs w:val="24"/>
          <w:lang w:val="en-US"/>
        </w:rPr>
        <w:t xml:space="preserve"> даргын БНХАУ-д хийх албан ёсны айлчлалын хүрээнд хоёр орны парламент хоорондын харилцааны байнгын ажиллагааг бэхжүүлэх баримт бичигт гарын үсэг зурахын зэрэгцээ бусад </w:t>
      </w:r>
      <w:r>
        <w:rPr>
          <w:rFonts w:cs="Arial"/>
          <w:sz w:val="24"/>
          <w:szCs w:val="24"/>
          <w:lang w:val="mn-MN"/>
        </w:rPr>
        <w:t>асуудлуудаар</w:t>
      </w:r>
      <w:r>
        <w:rPr>
          <w:rFonts w:cs="Arial"/>
          <w:sz w:val="24"/>
          <w:szCs w:val="24"/>
          <w:lang w:val="en-US"/>
        </w:rPr>
        <w:t xml:space="preserve"> Засгийн газар, аж ахуйн нэгжүүдийн хооронд хамтран ажиллах гэрээ хэлэлцээрт гарын үсэг зурах ажлыг амжуулахаар хоёр тал идэвхтэй хамтран ажиллаж байна.</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lang w:val="en-US"/>
        </w:rPr>
        <w:tab/>
        <w:t>Цаашид төрийн тэргүүнүүдийн айлчл</w:t>
      </w:r>
      <w:r>
        <w:rPr>
          <w:rFonts w:cs="Arial"/>
          <w:sz w:val="24"/>
          <w:szCs w:val="24"/>
        </w:rPr>
        <w:t>ал</w:t>
      </w:r>
      <w:r>
        <w:rPr>
          <w:rFonts w:cs="Arial"/>
          <w:sz w:val="24"/>
          <w:szCs w:val="24"/>
          <w:lang w:val="en-US"/>
        </w:rPr>
        <w:t xml:space="preserve">ын хүрээнд гарын үсэг зурсан баримт бичгүүдийг ажил хэрэг болгохын төлөө Засгийн газар цаг алдалгүй шуурхай ажиллаж, үр дүнд хүргэх хэрэгтэй байна.   </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lang w:val="en-US"/>
        </w:rPr>
        <w:tab/>
        <w:t>Монгол Улсын хоёр хөрштэйгээ харьцах харилцаанд гарсан сүүлийн үеийн ололт амжилт нь манай улсад Гурав дахь хөршийн бодлогоо эрчимтэй  хэрэгжүүлэх боломжийг олгож байна. Гурав дахь хөршийн холбоогоо бэхжүүлэхэд э</w:t>
      </w:r>
      <w:r>
        <w:rPr>
          <w:rFonts w:cs="Arial"/>
          <w:sz w:val="24"/>
          <w:szCs w:val="24"/>
        </w:rPr>
        <w:t xml:space="preserve">нэ удаагийн чуулганаар </w:t>
      </w:r>
      <w:r>
        <w:rPr>
          <w:rFonts w:cs="Arial"/>
          <w:sz w:val="24"/>
          <w:szCs w:val="24"/>
          <w:lang w:val="en-US"/>
        </w:rPr>
        <w:t xml:space="preserve">хэлэлцэх </w:t>
      </w:r>
      <w:r>
        <w:rPr>
          <w:rFonts w:cs="Arial"/>
          <w:sz w:val="24"/>
          <w:szCs w:val="24"/>
        </w:rPr>
        <w:t xml:space="preserve">Олон улсын худалдаа, хөрөнгө оруулалтын асуудлаар ил тод байдлыг хангах тухай Монгол Улс, Америкийн Нэгдсэн Улс хоорондын хэлэлцээрийг соёрхон батлах нь </w:t>
      </w:r>
      <w:r>
        <w:rPr>
          <w:rFonts w:cs="Arial"/>
          <w:sz w:val="24"/>
          <w:szCs w:val="24"/>
          <w:lang w:val="en-US"/>
        </w:rPr>
        <w:t>чухал ач холбогдолтой гэдгийг онцлон тэмдэглэж байна.</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rPr>
        <w:t xml:space="preserve">   </w:t>
      </w:r>
      <w:r>
        <w:rPr>
          <w:rFonts w:cs="Arial"/>
          <w:sz w:val="24"/>
          <w:szCs w:val="24"/>
        </w:rPr>
        <w:tab/>
        <w:t>Хаврын чуулганы завсарлаг</w:t>
      </w:r>
      <w:r>
        <w:rPr>
          <w:rFonts w:cs="Arial"/>
          <w:sz w:val="24"/>
          <w:szCs w:val="24"/>
          <w:lang w:val="en-US"/>
        </w:rPr>
        <w:t>ааны</w:t>
      </w:r>
      <w:r>
        <w:rPr>
          <w:rFonts w:cs="Arial"/>
          <w:sz w:val="24"/>
          <w:szCs w:val="24"/>
        </w:rPr>
        <w:t xml:space="preserve"> хугацаанд Улсын Их Хурлын гишүүд хөдөө орон нутагт ажилла</w:t>
      </w:r>
      <w:r>
        <w:rPr>
          <w:rFonts w:cs="Arial"/>
          <w:sz w:val="24"/>
          <w:szCs w:val="24"/>
          <w:lang w:val="en-US"/>
        </w:rPr>
        <w:t xml:space="preserve">хын зэрэгцээ </w:t>
      </w:r>
      <w:r>
        <w:rPr>
          <w:rFonts w:cs="Arial"/>
          <w:sz w:val="24"/>
          <w:szCs w:val="24"/>
        </w:rPr>
        <w:t xml:space="preserve">ХБНГУ, Бельги, Англи, АНУ, Канад, Швед, Турк, Франц, Австри зэрэг улсад олон улсын хурал, чуулганд оролцож </w:t>
      </w:r>
      <w:r>
        <w:rPr>
          <w:rFonts w:cs="Arial"/>
          <w:sz w:val="24"/>
          <w:szCs w:val="24"/>
          <w:lang w:val="en-US"/>
        </w:rPr>
        <w:t xml:space="preserve">тухайн орнуудын </w:t>
      </w:r>
      <w:r>
        <w:rPr>
          <w:rFonts w:cs="Arial"/>
          <w:sz w:val="24"/>
          <w:szCs w:val="24"/>
        </w:rPr>
        <w:t>хууль эрх зүйн орчинг суд</w:t>
      </w:r>
      <w:r>
        <w:rPr>
          <w:rFonts w:cs="Arial"/>
          <w:sz w:val="24"/>
          <w:szCs w:val="24"/>
          <w:lang w:val="en-US"/>
        </w:rPr>
        <w:t>алж,</w:t>
      </w:r>
      <w:r>
        <w:rPr>
          <w:rFonts w:cs="Arial"/>
          <w:sz w:val="24"/>
          <w:szCs w:val="24"/>
        </w:rPr>
        <w:t xml:space="preserve"> парламентын үйл ажиллагаатай танилц</w:t>
      </w:r>
      <w:r>
        <w:rPr>
          <w:rFonts w:cs="Arial"/>
          <w:sz w:val="24"/>
          <w:szCs w:val="24"/>
          <w:lang w:val="en-US"/>
        </w:rPr>
        <w:t>сан байна</w:t>
      </w:r>
      <w:r>
        <w:rPr>
          <w:rFonts w:cs="Arial"/>
          <w:sz w:val="24"/>
          <w:szCs w:val="24"/>
        </w:rPr>
        <w:t xml:space="preserve">. </w:t>
        <w:tab/>
      </w:r>
    </w:p>
    <w:p>
      <w:pPr>
        <w:pStyle w:val="style35"/>
        <w:spacing w:after="0" w:before="0" w:line="200" w:lineRule="atLeast"/>
        <w:ind w:hanging="0" w:left="0" w:right="0"/>
        <w:contextualSpacing w:val="false"/>
        <w:jc w:val="both"/>
      </w:pPr>
      <w:r>
        <w:rPr>
          <w:rFonts w:cs="Arial"/>
          <w:sz w:val="24"/>
          <w:szCs w:val="24"/>
        </w:rPr>
        <w:t xml:space="preserve">   </w:t>
      </w:r>
    </w:p>
    <w:p>
      <w:pPr>
        <w:pStyle w:val="style35"/>
        <w:spacing w:after="0" w:before="0" w:line="200" w:lineRule="atLeast"/>
        <w:ind w:hanging="0" w:left="0" w:right="0"/>
        <w:contextualSpacing w:val="false"/>
        <w:jc w:val="both"/>
      </w:pPr>
      <w:r>
        <w:rPr>
          <w:rFonts w:cs="Arial"/>
          <w:sz w:val="24"/>
          <w:szCs w:val="24"/>
        </w:rPr>
        <w:t xml:space="preserve">   </w:t>
      </w:r>
      <w:r>
        <w:rPr>
          <w:rFonts w:cs="Arial"/>
          <w:sz w:val="24"/>
          <w:szCs w:val="24"/>
        </w:rPr>
        <w:tab/>
        <w:t>Миний бие чуулганы завсарлаг</w:t>
      </w:r>
      <w:r>
        <w:rPr>
          <w:rFonts w:cs="Arial"/>
          <w:sz w:val="24"/>
          <w:szCs w:val="24"/>
          <w:lang w:val="en-US"/>
        </w:rPr>
        <w:t>ааны</w:t>
      </w:r>
      <w:r>
        <w:rPr>
          <w:rFonts w:cs="Arial"/>
          <w:sz w:val="24"/>
          <w:szCs w:val="24"/>
        </w:rPr>
        <w:t xml:space="preserve"> хугацаанд Баян-Өлгий, Говь-Алтай, Орхон, Булган</w:t>
      </w:r>
      <w:r>
        <w:rPr>
          <w:rFonts w:cs="Arial"/>
          <w:sz w:val="24"/>
          <w:szCs w:val="24"/>
          <w:lang w:val="en-US"/>
        </w:rPr>
        <w:t xml:space="preserve"> </w:t>
      </w:r>
      <w:r>
        <w:rPr>
          <w:rFonts w:cs="Arial"/>
          <w:sz w:val="24"/>
          <w:szCs w:val="24"/>
        </w:rPr>
        <w:t>аймгуудад ажилла</w:t>
      </w:r>
      <w:r>
        <w:rPr>
          <w:rFonts w:cs="Arial"/>
          <w:sz w:val="24"/>
          <w:szCs w:val="24"/>
          <w:lang w:val="en-US"/>
        </w:rPr>
        <w:t xml:space="preserve">ж, нийслэлийн эрчим хүчний бүтээн байгуулалт, </w:t>
      </w:r>
      <w:r>
        <w:rPr>
          <w:rFonts w:cs="Arial"/>
          <w:sz w:val="24"/>
          <w:szCs w:val="24"/>
        </w:rPr>
        <w:t>Дөргөн, Тайшир</w:t>
      </w:r>
      <w:r>
        <w:rPr>
          <w:rFonts w:cs="Arial"/>
          <w:sz w:val="24"/>
          <w:szCs w:val="24"/>
          <w:lang w:val="en-US"/>
        </w:rPr>
        <w:t xml:space="preserve">, </w:t>
      </w:r>
      <w:r>
        <w:rPr>
          <w:rFonts w:cs="Arial"/>
          <w:sz w:val="24"/>
          <w:szCs w:val="24"/>
        </w:rPr>
        <w:t>Эгийн голын усан цахилгаан станц</w:t>
      </w:r>
      <w:r>
        <w:rPr>
          <w:rFonts w:cs="Arial"/>
          <w:sz w:val="24"/>
          <w:szCs w:val="24"/>
          <w:lang w:val="en-US"/>
        </w:rPr>
        <w:t>ын үйл ажиллагаа, төслийн явцтай та</w:t>
      </w:r>
      <w:r>
        <w:rPr>
          <w:rFonts w:cs="Arial"/>
          <w:sz w:val="24"/>
          <w:szCs w:val="24"/>
        </w:rPr>
        <w:t>нилц</w:t>
      </w:r>
      <w:r>
        <w:rPr>
          <w:rFonts w:cs="Arial"/>
          <w:sz w:val="24"/>
          <w:szCs w:val="24"/>
          <w:lang w:val="en-US"/>
        </w:rPr>
        <w:t xml:space="preserve">аж, </w:t>
      </w:r>
      <w:r>
        <w:rPr>
          <w:rFonts w:cs="Arial"/>
          <w:sz w:val="24"/>
          <w:szCs w:val="24"/>
        </w:rPr>
        <w:t>Орхон айм</w:t>
      </w:r>
      <w:r>
        <w:rPr>
          <w:rFonts w:cs="Arial"/>
          <w:sz w:val="24"/>
          <w:szCs w:val="24"/>
          <w:lang w:val="en-US"/>
        </w:rPr>
        <w:t>гийн</w:t>
      </w:r>
      <w:r>
        <w:rPr>
          <w:rFonts w:cs="Arial"/>
          <w:sz w:val="24"/>
          <w:szCs w:val="24"/>
        </w:rPr>
        <w:t xml:space="preserve"> Молибдены баяжмал боловсруулах үйлдвэр</w:t>
      </w:r>
      <w:r>
        <w:rPr>
          <w:rFonts w:cs="Arial"/>
          <w:sz w:val="24"/>
          <w:szCs w:val="24"/>
          <w:lang w:val="en-US"/>
        </w:rPr>
        <w:t>ийн нээлтэд оролцлоо.</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lang w:val="en-US"/>
        </w:rPr>
        <w:t xml:space="preserve">   </w:t>
      </w:r>
      <w:r>
        <w:rPr>
          <w:rFonts w:cs="Arial"/>
          <w:sz w:val="24"/>
          <w:szCs w:val="24"/>
          <w:lang w:val="en-US"/>
        </w:rPr>
        <w:tab/>
        <w:t xml:space="preserve">Монголд </w:t>
      </w:r>
      <w:r>
        <w:rPr>
          <w:rFonts w:cs="Arial"/>
          <w:sz w:val="24"/>
          <w:szCs w:val="24"/>
        </w:rPr>
        <w:t>нэмүү өртөг шингэсэн бүтээгдэхүүн үйлдвэрлэх үйлдвэр</w:t>
      </w:r>
      <w:r>
        <w:rPr>
          <w:rFonts w:cs="Arial"/>
          <w:sz w:val="24"/>
          <w:szCs w:val="24"/>
          <w:lang w:val="en-US"/>
        </w:rPr>
        <w:t xml:space="preserve">лэлийг хөгжүүлэх, эрчим хүчний дэд бүтцийг өргөтгөх ажил  эрчимтэй явагдаж байна. Өсөн </w:t>
      </w:r>
      <w:r>
        <w:rPr>
          <w:rFonts w:cs="Arial"/>
          <w:sz w:val="24"/>
          <w:szCs w:val="24"/>
        </w:rPr>
        <w:t xml:space="preserve">нэмэгдэж буй </w:t>
      </w:r>
      <w:r>
        <w:rPr>
          <w:rFonts w:cs="Arial"/>
          <w:sz w:val="24"/>
          <w:szCs w:val="24"/>
          <w:lang w:val="en-US"/>
        </w:rPr>
        <w:t xml:space="preserve">эрчим хүчний </w:t>
      </w:r>
      <w:r>
        <w:rPr>
          <w:rFonts w:cs="Arial"/>
          <w:sz w:val="24"/>
          <w:szCs w:val="24"/>
        </w:rPr>
        <w:t xml:space="preserve">хэрэгцээг </w:t>
      </w:r>
      <w:r>
        <w:rPr>
          <w:rFonts w:cs="Arial"/>
          <w:sz w:val="24"/>
          <w:szCs w:val="24"/>
          <w:lang w:val="en-US"/>
        </w:rPr>
        <w:t xml:space="preserve">хангахын тулд </w:t>
      </w:r>
      <w:r>
        <w:rPr>
          <w:rFonts w:cs="Arial"/>
          <w:sz w:val="24"/>
          <w:szCs w:val="24"/>
          <w:lang w:val="mn-MN"/>
        </w:rPr>
        <w:t xml:space="preserve">хуучин </w:t>
      </w:r>
      <w:r>
        <w:rPr>
          <w:rFonts w:cs="Arial"/>
          <w:sz w:val="24"/>
          <w:szCs w:val="24"/>
          <w:lang w:val="en-US"/>
        </w:rPr>
        <w:t>ТЭЦ-3,ТЭЦ-4</w:t>
      </w:r>
      <w:r>
        <w:rPr>
          <w:rFonts w:cs="Arial"/>
          <w:sz w:val="24"/>
          <w:szCs w:val="24"/>
        </w:rPr>
        <w:t xml:space="preserve"> станц</w:t>
      </w:r>
      <w:r>
        <w:rPr>
          <w:rFonts w:cs="Arial"/>
          <w:sz w:val="24"/>
          <w:szCs w:val="24"/>
          <w:lang w:val="en-US"/>
        </w:rPr>
        <w:t xml:space="preserve">ын хүчин чадлыг 50 болон 128 мВт-аар нэмэгдүүлж өргөтгөсөн нь цаг хугацаа хожсон зөв бодлого байсныг харуулж байна. </w:t>
      </w:r>
      <w:r>
        <w:rPr>
          <w:rFonts w:cs="Arial"/>
          <w:sz w:val="24"/>
          <w:szCs w:val="24"/>
        </w:rPr>
        <w:t xml:space="preserve">Улаанбаатар хотын зүүн хэсгийг дулаанаар хангах “Амгалангийн дулааны станц” </w:t>
      </w:r>
      <w:r>
        <w:rPr>
          <w:rFonts w:cs="Arial"/>
          <w:sz w:val="24"/>
          <w:szCs w:val="24"/>
          <w:lang w:val="en-US"/>
        </w:rPr>
        <w:t xml:space="preserve">хугацаандаа </w:t>
      </w:r>
      <w:r>
        <w:rPr>
          <w:rFonts w:cs="Arial"/>
          <w:sz w:val="24"/>
          <w:szCs w:val="24"/>
        </w:rPr>
        <w:t>ашиглалтад ор</w:t>
      </w:r>
      <w:r>
        <w:rPr>
          <w:rFonts w:cs="Arial"/>
          <w:sz w:val="24"/>
          <w:szCs w:val="24"/>
          <w:lang w:val="en-US"/>
        </w:rPr>
        <w:t>ох боломжтой болжээ. Үүний үр дүнд нийслэлийн эрчим хүчний хангамж сайжрах нөхцөл бүрдэж байна.</w:t>
      </w:r>
    </w:p>
    <w:p>
      <w:pPr>
        <w:pStyle w:val="style35"/>
        <w:spacing w:after="0" w:before="0" w:line="200" w:lineRule="atLeast"/>
        <w:ind w:hanging="0" w:left="0" w:right="0"/>
        <w:contextualSpacing w:val="false"/>
        <w:jc w:val="both"/>
      </w:pPr>
      <w:r>
        <w:rPr>
          <w:rFonts w:cs="Arial"/>
          <w:sz w:val="24"/>
          <w:szCs w:val="24"/>
        </w:rPr>
        <w:tab/>
      </w:r>
    </w:p>
    <w:p>
      <w:pPr>
        <w:pStyle w:val="style35"/>
        <w:spacing w:after="0" w:before="0" w:line="200" w:lineRule="atLeast"/>
        <w:ind w:hanging="0" w:left="0" w:right="0"/>
        <w:contextualSpacing w:val="false"/>
        <w:jc w:val="both"/>
      </w:pPr>
      <w:r>
        <w:rPr>
          <w:rFonts w:cs="Arial"/>
          <w:sz w:val="24"/>
          <w:szCs w:val="24"/>
        </w:rPr>
        <w:t xml:space="preserve">    </w:t>
      </w:r>
      <w:r>
        <w:rPr>
          <w:rFonts w:cs="Arial"/>
          <w:sz w:val="24"/>
          <w:szCs w:val="24"/>
        </w:rPr>
        <w:tab/>
      </w:r>
      <w:r>
        <w:rPr>
          <w:rFonts w:cs="Arial"/>
          <w:sz w:val="24"/>
          <w:szCs w:val="24"/>
          <w:lang w:val="mn-MN"/>
        </w:rPr>
        <w:t>Ул</w:t>
      </w:r>
      <w:r>
        <w:rPr>
          <w:rFonts w:cs="Arial"/>
          <w:sz w:val="24"/>
          <w:szCs w:val="24"/>
        </w:rPr>
        <w:t>сын Их Хурлын эрхэм гишүүд ээ,</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lang w:val="en-US"/>
        </w:rPr>
        <w:t xml:space="preserve">   </w:t>
      </w:r>
      <w:r>
        <w:rPr>
          <w:rFonts w:cs="Arial"/>
          <w:sz w:val="24"/>
          <w:szCs w:val="24"/>
          <w:lang w:val="en-US"/>
        </w:rPr>
        <w:tab/>
        <w:t xml:space="preserve">Монгол Улсын Их Хурлын энэ удаагийн намрын чуулган Улсын Их Хурлын бүрэн эрхийн хугацааны хоёр дахь хагасын эхлэлтэй давхцаж буйгаараа онцлог юм. Өөрөөр хэлбэл, </w:t>
      </w:r>
      <w:r>
        <w:rPr>
          <w:rFonts w:cs="Arial"/>
          <w:sz w:val="24"/>
          <w:szCs w:val="24"/>
          <w:lang w:val="mn-MN"/>
        </w:rPr>
        <w:t>Улсын Их Хурл</w:t>
      </w:r>
      <w:r>
        <w:rPr>
          <w:rFonts w:cs="Arial"/>
          <w:sz w:val="24"/>
          <w:szCs w:val="24"/>
          <w:lang w:val="en-US"/>
        </w:rPr>
        <w:t xml:space="preserve">ын эрхэм гишүүд Та бид ард түмнээрээ ажлаа дүгнүүлэхэд хоёр хүрэхгүй жилийн хугацаа үлдээд байна. Улсын Их Хурлаас өнгөрсөн хоёр жилд Монгол Улсын хөгжил, эдийн засгийг эрчимжүүлэх ач холбогдолтой хууль, тогтоол, шийдвэр олныг гаргасан нь зохих үр дүнгээ өгсөн гэж үзэж байна. Тухайлбал, Монгол Улс НҮБ-ын Авлигын эсрэг конвенцид нэгдэн орсноос хойш гишүүн орны хувьд хүлээсэн үүргээ биелүүлэх зорилгоор энэ удаагийн Улсын Их Хурлын бүрэн эрхийн хугацаанд хууль хяналтын байгууллагын эрх зүйн шинэтгэлтэй  холбоотой багц хуулиудыг батлан гаргаж мөрдүүлсэн. </w:t>
      </w:r>
    </w:p>
    <w:p>
      <w:pPr>
        <w:pStyle w:val="style35"/>
        <w:spacing w:after="0" w:before="0" w:line="200" w:lineRule="atLeast"/>
        <w:ind w:hanging="0" w:left="0" w:right="0"/>
        <w:contextualSpacing w:val="false"/>
        <w:jc w:val="both"/>
      </w:pPr>
      <w:r>
        <w:rPr>
          <w:rFonts w:cs="Arial"/>
          <w:sz w:val="24"/>
          <w:szCs w:val="24"/>
          <w:lang w:val="en-US"/>
        </w:rPr>
        <w:tab/>
        <w:t>Олон улсын “Транспарэнси интернэшнл” байгууллагаас жил бүр гаргадаг Авлигын төсөөллийн индексийн судалгааны дүнгээр Монгол Улс 124 дүгээр байрнаас 83 дугаар байр</w:t>
      </w:r>
      <w:r>
        <w:rPr>
          <w:rFonts w:cs="Arial"/>
          <w:sz w:val="24"/>
          <w:szCs w:val="24"/>
          <w:lang w:val="mn-MN"/>
        </w:rPr>
        <w:t>анд</w:t>
      </w:r>
      <w:r>
        <w:rPr>
          <w:rFonts w:cs="Arial"/>
          <w:sz w:val="24"/>
          <w:szCs w:val="24"/>
          <w:lang w:val="en-US"/>
        </w:rPr>
        <w:t xml:space="preserve"> шилжсэн нь авлигатай тэмцэх талаар төрөөс авч хэрэгжүүлж буй бодлого, үйл ажиллагааны үр дүн юм. Гэсэн хэдий ч эдийн засаг, нийгэм, хууль хяналтын салбарын олон эмзэг асуудлыг шийдвэрлэх үүднээс цаг алдалгүй хэлэлцүүлж, батлуулах шаардлагатай хууль, тогтоолын төслүүд цөөнгүй байна.</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rPr>
        <w:t xml:space="preserve">  </w:t>
      </w:r>
      <w:r>
        <w:rPr>
          <w:rFonts w:cs="Arial"/>
          <w:sz w:val="24"/>
          <w:szCs w:val="24"/>
        </w:rPr>
        <w:tab/>
        <w:t>Намрын чуулган</w:t>
      </w:r>
      <w:r>
        <w:rPr>
          <w:rFonts w:cs="Arial"/>
          <w:sz w:val="24"/>
          <w:szCs w:val="24"/>
          <w:lang w:val="en-US"/>
        </w:rPr>
        <w:t xml:space="preserve">аар </w:t>
      </w:r>
      <w:r>
        <w:rPr>
          <w:rFonts w:cs="Arial"/>
          <w:sz w:val="24"/>
          <w:szCs w:val="24"/>
        </w:rPr>
        <w:t xml:space="preserve">2015 оны Монгол Улсын төсөв, хүний хөгжил сангийн болон нийгмийн даатгалын сангийн төсөв, төрөөс мөнгөний бодлогын талаар баримтлах үндсэн чиглэлийг хэлэлцэж батална. </w:t>
      </w:r>
      <w:r>
        <w:rPr>
          <w:rFonts w:cs="Arial"/>
          <w:sz w:val="24"/>
          <w:szCs w:val="24"/>
          <w:lang w:val="en-US"/>
        </w:rPr>
        <w:t xml:space="preserve">2014 оны эхний 8 сарын байдлаар Монгол Улсын нэгдсэн төсвийн нийт орлого 13.6 хувиар буюу 605.8 тэрбум төгрөгөөр тасарч, Үндэсний статистикийн хорооны мэдээлснээр Улсын нэгдсэн төсвийн тэнцвэржүүлсэн орлого, тусламжийн нийт хэмжээ 3 </w:t>
      </w:r>
      <w:r>
        <w:rPr>
          <w:rFonts w:cs="Arial"/>
          <w:sz w:val="24"/>
          <w:szCs w:val="24"/>
          <w:lang w:val="mn-MN"/>
        </w:rPr>
        <w:t xml:space="preserve">их наяд </w:t>
      </w:r>
      <w:r>
        <w:rPr>
          <w:rFonts w:cs="Arial"/>
          <w:sz w:val="24"/>
          <w:szCs w:val="24"/>
          <w:lang w:val="en-US"/>
        </w:rPr>
        <w:t xml:space="preserve">798 тэрбум </w:t>
      </w:r>
      <w:r>
        <w:rPr>
          <w:rFonts w:cs="Arial"/>
          <w:sz w:val="24"/>
          <w:szCs w:val="24"/>
          <w:lang w:val="mn-MN"/>
        </w:rPr>
        <w:t>төгрөг</w:t>
      </w:r>
      <w:r>
        <w:rPr>
          <w:rFonts w:cs="Arial"/>
          <w:sz w:val="24"/>
          <w:szCs w:val="24"/>
          <w:lang w:val="en-US"/>
        </w:rPr>
        <w:t xml:space="preserve">, зарлага, эргэж төлөгдөх цэвэр зээлийн хэмжээ 3 </w:t>
      </w:r>
      <w:r>
        <w:rPr>
          <w:rFonts w:cs="Arial"/>
          <w:sz w:val="24"/>
          <w:szCs w:val="24"/>
          <w:lang w:val="mn-MN"/>
        </w:rPr>
        <w:t xml:space="preserve">их наяд </w:t>
      </w:r>
      <w:r>
        <w:rPr>
          <w:rFonts w:cs="Arial"/>
          <w:sz w:val="24"/>
          <w:szCs w:val="24"/>
          <w:lang w:val="en-US"/>
        </w:rPr>
        <w:t xml:space="preserve">951 </w:t>
      </w:r>
      <w:r>
        <w:rPr>
          <w:rFonts w:cs="Arial"/>
          <w:sz w:val="24"/>
          <w:szCs w:val="24"/>
          <w:lang w:val="mn-MN"/>
        </w:rPr>
        <w:t xml:space="preserve">тэрбум </w:t>
      </w:r>
      <w:r>
        <w:rPr>
          <w:rFonts w:cs="Arial"/>
          <w:sz w:val="24"/>
          <w:szCs w:val="24"/>
          <w:lang w:val="en-US"/>
        </w:rPr>
        <w:t xml:space="preserve">төгрөгт хүрч улсын нэгдсэн тэнцвэржүүлсэн тэнцэл 153 тэрбум төгрөгийн алдагдалтай гарсан байна. </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lang w:val="en-US"/>
        </w:rPr>
        <w:tab/>
        <w:t xml:space="preserve">Сүүлийн жилүүдэд манай эдийн </w:t>
      </w:r>
      <w:r>
        <w:rPr>
          <w:rFonts w:cs="Arial"/>
          <w:sz w:val="24"/>
          <w:szCs w:val="24"/>
          <w:lang w:val="mn-MN"/>
        </w:rPr>
        <w:t>засагт</w:t>
      </w:r>
      <w:r>
        <w:rPr>
          <w:rFonts w:cs="Arial"/>
          <w:sz w:val="24"/>
          <w:szCs w:val="24"/>
          <w:lang w:val="en-US"/>
        </w:rPr>
        <w:t xml:space="preserve"> төгрөгийн ханшийн савлагаа, инфляцийн өсөлт, экспортын бүтээгдэхүүний үнийн уналт зэргээс хамаарч ард иргэдийн зарим хэсгийн амьжиргааны түвшин буурч байна.</w:t>
      </w:r>
    </w:p>
    <w:p>
      <w:pPr>
        <w:pStyle w:val="style35"/>
        <w:spacing w:after="0" w:before="0" w:line="200" w:lineRule="atLeast"/>
        <w:ind w:hanging="0" w:left="0" w:right="0"/>
        <w:contextualSpacing w:val="false"/>
        <w:jc w:val="both"/>
      </w:pPr>
      <w:r>
        <w:rPr>
          <w:rFonts w:cs="Arial"/>
          <w:sz w:val="24"/>
          <w:szCs w:val="24"/>
          <w:lang w:val="en-US"/>
        </w:rPr>
        <w:t xml:space="preserve"> </w:t>
      </w:r>
    </w:p>
    <w:p>
      <w:pPr>
        <w:pStyle w:val="style35"/>
        <w:spacing w:after="0" w:before="0" w:line="200" w:lineRule="atLeast"/>
        <w:ind w:hanging="0" w:left="0" w:right="0"/>
        <w:contextualSpacing w:val="false"/>
        <w:jc w:val="both"/>
      </w:pPr>
      <w:r>
        <w:rPr>
          <w:rFonts w:cs="Arial"/>
          <w:sz w:val="24"/>
          <w:szCs w:val="24"/>
          <w:lang w:val="en-US"/>
        </w:rPr>
        <w:t xml:space="preserve">   </w:t>
      </w:r>
      <w:r>
        <w:rPr>
          <w:rFonts w:cs="Arial"/>
          <w:sz w:val="24"/>
          <w:szCs w:val="24"/>
          <w:lang w:val="en-US"/>
        </w:rPr>
        <w:tab/>
        <w:t xml:space="preserve">Эдийн засагт үүссэн эдгээр нөхцөл байдлыг болон удахгүй төлбөр нь нэхэгдэж эхлэх Хөгжлийн банкны, Чингис, Самурай </w:t>
      </w:r>
      <w:r>
        <w:rPr>
          <w:rFonts w:cs="Arial"/>
          <w:sz w:val="24"/>
          <w:szCs w:val="24"/>
          <w:lang w:val="mn-MN"/>
        </w:rPr>
        <w:t>бондуудын</w:t>
      </w:r>
      <w:r>
        <w:rPr>
          <w:rFonts w:cs="Arial"/>
          <w:sz w:val="24"/>
          <w:szCs w:val="24"/>
          <w:lang w:val="en-US"/>
        </w:rPr>
        <w:t xml:space="preserve"> төлбөрийг хэрхэн төлөх талаар одооноос сайтар тооцож, 2015 оны төсөв, мөнгөний бодлогыг үндэслэл сайтай баталж мөрдүүлэх шаардлага </w:t>
      </w:r>
      <w:r>
        <w:rPr>
          <w:rFonts w:cs="Arial"/>
          <w:sz w:val="24"/>
          <w:szCs w:val="24"/>
          <w:lang w:val="mn-MN"/>
        </w:rPr>
        <w:t>Улсын Их Хурлын</w:t>
      </w:r>
      <w:r>
        <w:rPr>
          <w:rFonts w:cs="Arial"/>
          <w:sz w:val="24"/>
          <w:szCs w:val="24"/>
          <w:lang w:val="en-US"/>
        </w:rPr>
        <w:t xml:space="preserve"> эрхэм зорилт болж байна. Өнгөрсөн хаврын чуулганаар баталж амжаагүй Өрийн удирдлагын хуулийг </w:t>
      </w:r>
      <w:r>
        <w:rPr>
          <w:rFonts w:cs="Arial"/>
          <w:sz w:val="24"/>
          <w:szCs w:val="24"/>
          <w:lang w:val="mn-MN"/>
        </w:rPr>
        <w:t>ч гэсэн</w:t>
      </w:r>
      <w:r>
        <w:rPr>
          <w:rFonts w:cs="Arial"/>
          <w:sz w:val="24"/>
          <w:szCs w:val="24"/>
          <w:lang w:val="en-US"/>
        </w:rPr>
        <w:t xml:space="preserve"> яаралтай батлан гаргах шаардлагатай байна. </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rPr>
        <w:t xml:space="preserve">   </w:t>
      </w:r>
      <w:r>
        <w:rPr>
          <w:rFonts w:cs="Arial"/>
          <w:sz w:val="24"/>
          <w:szCs w:val="24"/>
        </w:rPr>
        <w:tab/>
        <w:t>Энэ удаагийн чуулганаар Татварын хууль тогтоомжид нэмэлт, өөрчлөлт оруулах тухай хуулийн болон шинэчилсэн найруулгын төсөл, Гэр бүлийн хүчирхийлэлтэй тэмцэх тухай, Гэмт хэргийн тухай, Зөрчлийн тухай, Худалдааны</w:t>
      </w:r>
      <w:r>
        <w:rPr>
          <w:rFonts w:cs="Arial"/>
          <w:sz w:val="24"/>
          <w:szCs w:val="24"/>
          <w:lang w:val="en-US"/>
        </w:rPr>
        <w:t xml:space="preserve"> тухай зэрэг олон чухал хуулиудыг хэлэлцэнэ. </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lang w:val="en-US"/>
        </w:rPr>
        <w:tab/>
        <w:t xml:space="preserve">Мөн </w:t>
      </w:r>
      <w:r>
        <w:rPr>
          <w:rFonts w:cs="Arial"/>
          <w:sz w:val="24"/>
          <w:szCs w:val="24"/>
        </w:rPr>
        <w:t>Төрөөс төмөр замын тээврийн талаар баримтлах бодлогын хэрэгжилтийг хангах зарим арга хэмжээний тухай, авто зам</w:t>
      </w:r>
      <w:r>
        <w:rPr>
          <w:rFonts w:cs="Arial"/>
          <w:sz w:val="24"/>
          <w:szCs w:val="24"/>
          <w:lang w:val="en-US"/>
        </w:rPr>
        <w:t xml:space="preserve">, </w:t>
      </w:r>
      <w:r>
        <w:rPr>
          <w:rFonts w:cs="Arial"/>
          <w:sz w:val="24"/>
          <w:szCs w:val="24"/>
        </w:rPr>
        <w:t>боловсрол</w:t>
      </w:r>
      <w:r>
        <w:rPr>
          <w:rFonts w:cs="Arial"/>
          <w:sz w:val="24"/>
          <w:szCs w:val="24"/>
          <w:lang w:val="en-US"/>
        </w:rPr>
        <w:t xml:space="preserve">, эмийн </w:t>
      </w:r>
      <w:r>
        <w:rPr>
          <w:rFonts w:cs="Arial"/>
          <w:sz w:val="24"/>
          <w:szCs w:val="24"/>
        </w:rPr>
        <w:t xml:space="preserve">талаар </w:t>
      </w:r>
      <w:r>
        <w:rPr>
          <w:rFonts w:cs="Arial"/>
          <w:sz w:val="24"/>
          <w:szCs w:val="24"/>
          <w:lang w:val="en-US"/>
        </w:rPr>
        <w:t xml:space="preserve">төрөөс </w:t>
      </w:r>
      <w:r>
        <w:rPr>
          <w:rFonts w:cs="Arial"/>
          <w:sz w:val="24"/>
          <w:szCs w:val="24"/>
        </w:rPr>
        <w:t xml:space="preserve">баримтлах бодлогыг шинэчлэн батлах тухай тогтоолын төслүүд болон хаврын чуулганаар хэлэлцэж эхэлсэн бусад хууль тогтоомжийг үргэлжлүүлэн хэлэлцэж батлах болно. </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lang w:val="en-US"/>
        </w:rPr>
        <w:t xml:space="preserve">  </w:t>
      </w:r>
      <w:r>
        <w:rPr>
          <w:rFonts w:cs="Arial"/>
          <w:sz w:val="24"/>
          <w:szCs w:val="24"/>
          <w:lang w:val="en-US"/>
        </w:rPr>
        <w:tab/>
        <w:t xml:space="preserve">Улс төрийн намууд сонгуульд зориулан иргэд, аж ахуйн нэгж байгууллагуудаас их хэмжээний хандив авдаг, намын санхүүжилт ил тод биш байгаа талаар ихээхэн шүүмжлэл дагуулж байна. Үүнтэй холбоотойгоор Улс төрийн намын тухай, Улс төрийн намын санхүүжилтийн тухай хуулийн төслийг энэ чуулганаар хэлэлцэхээр төлөвлөөд байна. </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lang w:val="en-US"/>
        </w:rPr>
        <w:tab/>
        <w:t xml:space="preserve">Улс орныхоо эдийн засагт суурь чанартай томоохон өөрчлөлтүүдийг хийж, улсынхаа хөгжлийг дунд, урт хугацаанд төлөвлөх талаар бид олон удаа ярьж </w:t>
      </w:r>
      <w:r>
        <w:rPr>
          <w:rFonts w:cs="Arial"/>
          <w:sz w:val="24"/>
          <w:szCs w:val="24"/>
          <w:lang w:val="mn-MN"/>
        </w:rPr>
        <w:t>байгаа</w:t>
      </w:r>
      <w:r>
        <w:rPr>
          <w:rFonts w:cs="Arial"/>
          <w:sz w:val="24"/>
          <w:szCs w:val="24"/>
          <w:lang w:val="en-US"/>
        </w:rPr>
        <w:t xml:space="preserve">. Харамсалтай нь бодит ажил хийгдсэнгүй өнөөдрийг хүрч байна. Үүнтэй холбоотойгоор Хөгжлийн стратеги, бодлого боловсруулах чиглэлээр  байгуулагдсан </w:t>
      </w:r>
      <w:r>
        <w:rPr>
          <w:rFonts w:cs="Arial"/>
          <w:sz w:val="24"/>
          <w:szCs w:val="24"/>
          <w:lang w:val="mn-MN"/>
        </w:rPr>
        <w:t>Улсын Их Хурлын</w:t>
      </w:r>
      <w:r>
        <w:rPr>
          <w:rFonts w:cs="Arial"/>
          <w:sz w:val="24"/>
          <w:szCs w:val="24"/>
          <w:lang w:val="en-US"/>
        </w:rPr>
        <w:t xml:space="preserve"> ажлын хэсэг ажилдаа яаравчлан орохыг сануулж байна.</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lang w:val="en-US"/>
        </w:rPr>
        <w:t xml:space="preserve">  </w:t>
      </w:r>
      <w:r>
        <w:rPr>
          <w:rFonts w:cs="Arial"/>
          <w:sz w:val="24"/>
          <w:szCs w:val="24"/>
          <w:lang w:val="en-US"/>
        </w:rPr>
        <w:tab/>
        <w:t xml:space="preserve">Монгол Улсын Ерөнхий сайд Засгийн газрын бүтцэд өөрчлөлт оруулна гэдгээ ард түмэндээ зарласан нь нийгмийн сэтгэл зүйд ихээхэн хүлээлт бий болгоод байна. Тийм учраас бүтцийн өөрчлөлтийг </w:t>
      </w:r>
      <w:r>
        <w:rPr>
          <w:rFonts w:cs="Arial"/>
          <w:sz w:val="24"/>
          <w:szCs w:val="24"/>
          <w:lang w:val="mn-MN"/>
        </w:rPr>
        <w:t>Улсын Их Хурлын</w:t>
      </w:r>
      <w:r>
        <w:rPr>
          <w:rFonts w:cs="Arial"/>
          <w:sz w:val="24"/>
          <w:szCs w:val="24"/>
          <w:lang w:val="en-US"/>
        </w:rPr>
        <w:t xml:space="preserve"> гишүүд, олон нийтийн дунд өрнөж байгаа санал шүүмжлэл, салбаруудын уялдаа холбоог нарийвчлан тооцож, оновчтой хувилбараар боловсруулж ойрын хугацаанд </w:t>
      </w:r>
      <w:r>
        <w:rPr>
          <w:rFonts w:cs="Arial"/>
          <w:sz w:val="24"/>
          <w:szCs w:val="24"/>
          <w:lang w:val="mn-MN"/>
        </w:rPr>
        <w:t>Улсын Их Хуралд</w:t>
      </w:r>
      <w:r>
        <w:rPr>
          <w:rFonts w:cs="Arial"/>
          <w:sz w:val="24"/>
          <w:szCs w:val="24"/>
          <w:lang w:val="en-US"/>
        </w:rPr>
        <w:t xml:space="preserve"> өргөн барих хэрэгтэй </w:t>
      </w:r>
      <w:r>
        <w:rPr>
          <w:rFonts w:cs="Arial"/>
          <w:sz w:val="24"/>
          <w:szCs w:val="24"/>
          <w:lang w:val="mn-MN"/>
        </w:rPr>
        <w:t>байна</w:t>
      </w:r>
      <w:r>
        <w:rPr>
          <w:rFonts w:cs="Arial"/>
          <w:sz w:val="24"/>
          <w:szCs w:val="24"/>
          <w:lang w:val="en-US"/>
        </w:rPr>
        <w:t xml:space="preserve">. </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lang w:val="en-US"/>
        </w:rPr>
        <w:tab/>
        <w:t xml:space="preserve">Улсын Их Хурал бүрэн эрхийнхээ дагуу цаг хугацаа, дараалал харгалзахгүйгээр яаралтай  хэлэлцэж батлах болно. Энэ нь засаглалын ажлыг тасралтгүй үргэлжлүүлэх алхам гэж үзэж байна. Харин Засгийн газрын бүтэц </w:t>
      </w:r>
      <w:r>
        <w:rPr>
          <w:rFonts w:cs="Arial"/>
          <w:sz w:val="24"/>
          <w:szCs w:val="24"/>
          <w:lang w:val="mn-MN"/>
        </w:rPr>
        <w:t>өөрчлөхтэй</w:t>
      </w:r>
      <w:r>
        <w:rPr>
          <w:rFonts w:cs="Arial"/>
          <w:sz w:val="24"/>
          <w:szCs w:val="24"/>
          <w:lang w:val="en-US"/>
        </w:rPr>
        <w:t xml:space="preserve"> холбоотойгоор засаглалын аль ч шатанд ажил цалгардуулж болохгүй гэдгийг төрийн албан хаагчид, албан тушаалтнуудад  анхааруулж байна. </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lang w:val="en-US"/>
        </w:rPr>
        <w:t xml:space="preserve">     </w:t>
      </w:r>
      <w:r>
        <w:rPr>
          <w:rFonts w:cs="Arial"/>
          <w:sz w:val="24"/>
          <w:szCs w:val="24"/>
          <w:lang w:val="en-US"/>
        </w:rPr>
        <w:tab/>
        <w:t>Эрхэм гишүүд ээ,</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rPr>
        <w:t xml:space="preserve">   </w:t>
      </w:r>
      <w:r>
        <w:rPr>
          <w:rFonts w:cs="Arial"/>
          <w:sz w:val="24"/>
          <w:szCs w:val="24"/>
        </w:rPr>
        <w:tab/>
        <w:t xml:space="preserve">Улсын Их Хурлын </w:t>
      </w:r>
      <w:r>
        <w:rPr>
          <w:rFonts w:cs="Arial"/>
          <w:sz w:val="24"/>
          <w:szCs w:val="24"/>
          <w:lang w:val="en-US"/>
        </w:rPr>
        <w:t xml:space="preserve">гишүүдийн ажиллах нөхцөлийг сайжруулах зорилгоор Улсын Их Хурлын </w:t>
      </w:r>
      <w:r>
        <w:rPr>
          <w:rFonts w:cs="Arial"/>
          <w:sz w:val="24"/>
          <w:szCs w:val="24"/>
        </w:rPr>
        <w:t>Тамгын газар, БНСУ-ын Олон улсын хамтын ажиллагааны байгууллагатай хамтран БНСУ-ын Засгийн газрын 3.5 сая ам.долларын буцалтгүй тусламжаар “Цахим парламент” төслийг амжилттай хэрэгжүүл</w:t>
      </w:r>
      <w:r>
        <w:rPr>
          <w:rFonts w:cs="Arial"/>
          <w:sz w:val="24"/>
          <w:szCs w:val="24"/>
          <w:lang w:val="en-US"/>
        </w:rPr>
        <w:t>ж, хур</w:t>
      </w:r>
      <w:r>
        <w:rPr>
          <w:rFonts w:cs="Arial"/>
          <w:sz w:val="24"/>
          <w:szCs w:val="24"/>
        </w:rPr>
        <w:t xml:space="preserve">алдааны </w:t>
      </w:r>
      <w:r>
        <w:rPr>
          <w:rFonts w:cs="Arial"/>
          <w:sz w:val="24"/>
          <w:szCs w:val="24"/>
          <w:lang w:val="en-US"/>
        </w:rPr>
        <w:t xml:space="preserve">танхимуудад </w:t>
      </w:r>
      <w:r>
        <w:rPr>
          <w:rFonts w:cs="Arial"/>
          <w:sz w:val="24"/>
          <w:szCs w:val="24"/>
        </w:rPr>
        <w:t>иж бүрэн цахим системийг шинээр суурилуул</w:t>
      </w:r>
      <w:r>
        <w:rPr>
          <w:rFonts w:cs="Arial"/>
          <w:sz w:val="24"/>
          <w:szCs w:val="24"/>
          <w:lang w:val="en-US"/>
        </w:rPr>
        <w:t xml:space="preserve">лаа. </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rPr>
        <w:t xml:space="preserve">   </w:t>
      </w:r>
      <w:r>
        <w:rPr>
          <w:rFonts w:cs="Arial"/>
          <w:sz w:val="24"/>
          <w:szCs w:val="24"/>
        </w:rPr>
        <w:tab/>
        <w:t xml:space="preserve">Улсын Их Хурлын нэгдсэн хуралдааны цагийг долоо хоногийн Пүрэв, Баасан гарагт өглөө 09 цагаас эхэлж, үдээс хойш 14 цагаас үргэлжлүүлж байхаар </w:t>
      </w:r>
      <w:r>
        <w:rPr>
          <w:rFonts w:cs="Arial"/>
          <w:sz w:val="24"/>
          <w:szCs w:val="24"/>
          <w:lang w:val="en-US"/>
        </w:rPr>
        <w:t xml:space="preserve">өөрчилж </w:t>
      </w:r>
      <w:r>
        <w:rPr>
          <w:rFonts w:cs="Arial"/>
          <w:sz w:val="24"/>
          <w:szCs w:val="24"/>
        </w:rPr>
        <w:t>захирамж гар</w:t>
      </w:r>
      <w:r>
        <w:rPr>
          <w:rFonts w:cs="Arial"/>
          <w:sz w:val="24"/>
          <w:szCs w:val="24"/>
          <w:lang w:val="en-US"/>
        </w:rPr>
        <w:t xml:space="preserve">галаа. </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lang w:val="en-US"/>
        </w:rPr>
        <w:t xml:space="preserve">   </w:t>
      </w:r>
      <w:r>
        <w:rPr>
          <w:rFonts w:cs="Arial"/>
          <w:sz w:val="24"/>
          <w:szCs w:val="24"/>
          <w:lang w:val="en-US"/>
        </w:rPr>
        <w:tab/>
        <w:t>Намрын чуулган дараа жилийн төсөв, мөнгөний бодлогыг тусгай дэгээр хэлэлцдэг учраас цаг хугацааг үр ашигтай, бүтээлчээр ашиглаж, төлөвлөгдсөн олон чухал хууль тогтоолыг батлахын тулд э</w:t>
      </w:r>
      <w:r>
        <w:rPr>
          <w:rFonts w:cs="Arial"/>
          <w:sz w:val="24"/>
          <w:szCs w:val="24"/>
        </w:rPr>
        <w:t xml:space="preserve">рхэм гишүүд </w:t>
      </w:r>
      <w:r>
        <w:rPr>
          <w:rFonts w:cs="Arial"/>
          <w:sz w:val="24"/>
          <w:szCs w:val="24"/>
          <w:lang w:val="en-US"/>
        </w:rPr>
        <w:t xml:space="preserve">Та бүхнийг </w:t>
      </w:r>
      <w:r>
        <w:rPr>
          <w:rFonts w:cs="Arial"/>
          <w:sz w:val="24"/>
          <w:szCs w:val="24"/>
        </w:rPr>
        <w:t xml:space="preserve">чуулганы </w:t>
      </w:r>
      <w:r>
        <w:rPr>
          <w:rFonts w:cs="Arial"/>
          <w:sz w:val="24"/>
          <w:szCs w:val="24"/>
          <w:lang w:val="en-US"/>
        </w:rPr>
        <w:t xml:space="preserve">үйл ажиллагаанд </w:t>
      </w:r>
      <w:r>
        <w:rPr>
          <w:rFonts w:cs="Arial"/>
          <w:sz w:val="24"/>
          <w:szCs w:val="24"/>
        </w:rPr>
        <w:t>идэвхтэй</w:t>
      </w:r>
      <w:r>
        <w:rPr>
          <w:rFonts w:cs="Arial"/>
          <w:sz w:val="24"/>
          <w:szCs w:val="24"/>
          <w:lang w:val="en-US"/>
        </w:rPr>
        <w:t xml:space="preserve">, </w:t>
      </w:r>
      <w:r>
        <w:rPr>
          <w:rFonts w:cs="Arial"/>
          <w:sz w:val="24"/>
          <w:szCs w:val="24"/>
          <w:lang w:val="mn-MN"/>
        </w:rPr>
        <w:t>санаачилгатай</w:t>
      </w:r>
      <w:r>
        <w:rPr>
          <w:rFonts w:cs="Arial"/>
          <w:sz w:val="24"/>
          <w:szCs w:val="24"/>
          <w:lang w:val="en-US"/>
        </w:rPr>
        <w:t xml:space="preserve"> </w:t>
      </w:r>
      <w:r>
        <w:rPr>
          <w:rFonts w:cs="Arial"/>
          <w:sz w:val="24"/>
          <w:szCs w:val="24"/>
        </w:rPr>
        <w:t xml:space="preserve"> оролцохыг </w:t>
      </w:r>
      <w:r>
        <w:rPr>
          <w:rFonts w:cs="Arial"/>
          <w:sz w:val="24"/>
          <w:szCs w:val="24"/>
          <w:lang w:val="en-US"/>
        </w:rPr>
        <w:t>уриалж байна.</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bookmarkStart w:id="2" w:name="__DdeLink__158_740931678"/>
      <w:r>
        <w:rPr>
          <w:rFonts w:cs="Arial"/>
          <w:sz w:val="24"/>
          <w:szCs w:val="24"/>
        </w:rPr>
        <w:t xml:space="preserve">  </w:t>
      </w:r>
      <w:bookmarkEnd w:id="2"/>
      <w:r>
        <w:rPr>
          <w:rFonts w:cs="Arial"/>
          <w:sz w:val="24"/>
          <w:szCs w:val="24"/>
        </w:rPr>
        <w:tab/>
        <w:t>Та бүхэнд ажлын амжилт хүсч, Улсын Их Хурлын 2014 оны намрын ээлжит чуулганы ажиллагааг нээснийг мэдэгдье. (</w:t>
      </w:r>
      <w:r>
        <w:rPr>
          <w:rFonts w:cs="Arial"/>
          <w:sz w:val="24"/>
          <w:szCs w:val="24"/>
          <w:lang w:val="mn-MN"/>
        </w:rPr>
        <w:t>Төрийн дуулал эгшиглэв</w:t>
      </w:r>
      <w:r>
        <w:rPr>
          <w:rFonts w:cs="Arial"/>
          <w:sz w:val="24"/>
          <w:szCs w:val="24"/>
        </w:rPr>
        <w:t>)</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rPr>
        <w:tab/>
      </w:r>
      <w:r>
        <w:rPr>
          <w:rFonts w:cs="Arial"/>
          <w:sz w:val="24"/>
          <w:szCs w:val="24"/>
          <w:lang w:val="mn-MN"/>
        </w:rPr>
        <w:t>Улсын Их Хурлын 2014 оны намрын ээлжит чуулганы нээлтийн хуралдаан өндөрлөснийг мэдэгдье. Үдээс хойш Улсын Их Хурал дахь нам, эвслийн бүлгүүд хуралдаантай байгаа.</w:t>
      </w:r>
    </w:p>
    <w:p>
      <w:pPr>
        <w:pStyle w:val="style35"/>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rFonts w:cs="Arial"/>
          <w:sz w:val="24"/>
          <w:szCs w:val="24"/>
        </w:rPr>
        <w:tab/>
        <w:t>Соронзон</w:t>
      </w:r>
      <w:r>
        <w:rPr>
          <w:rFonts w:cs="Arial"/>
          <w:sz w:val="24"/>
          <w:szCs w:val="24"/>
          <w:lang w:val="mn-MN"/>
        </w:rPr>
        <w:t xml:space="preserve"> хальснаас буулгасан:</w:t>
      </w:r>
    </w:p>
    <w:p>
      <w:pPr>
        <w:pStyle w:val="style35"/>
        <w:spacing w:after="0" w:before="0" w:line="200" w:lineRule="atLeast"/>
        <w:ind w:hanging="0" w:left="0" w:right="0"/>
        <w:contextualSpacing w:val="false"/>
        <w:jc w:val="both"/>
      </w:pPr>
      <w:r>
        <w:rPr>
          <w:rFonts w:cs="Arial"/>
          <w:sz w:val="24"/>
          <w:szCs w:val="24"/>
          <w:lang w:val="mn-MN"/>
        </w:rPr>
        <w:tab/>
        <w:t>Протоколын албаны шинжээч Д.Энэбиш</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pPr>
      <w:r>
        <w:rPr/>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Arial">
    <w:charset w:val="80"/>
    <w:family w:val="swiss"/>
    <w:pitch w:val="default"/>
  </w:font>
  <w:font w:name="Arial Mon">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3"/>
      <w:jc w:val="right"/>
    </w:pPr>
    <w:r>
      <w:rPr/>
      <w:fldChar w:fldCharType="begin"/>
    </w:r>
    <w:r>
      <w:instrText> PAGE </w:instrText>
    </w:r>
    <w:r>
      <w:fldChar w:fldCharType="separate"/>
    </w:r>
    <w:r>
      <w:t>6</w:t>
    </w:r>
    <w:r>
      <w:fldChar w:fldCharType="end"/>
    </w:r>
  </w:p>
</w:hdr>
</file>

<file path=word/settings.xml><?xml version="1.0" encoding="utf-8"?>
<w:settings xmlns:w="http://schemas.openxmlformats.org/wordprocessingml/2006/main">
  <w:zoom w:percent="15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false"/>
      <w:autoSpaceDE w:val="true"/>
    </w:pPr>
    <w:rPr>
      <w:rFonts w:ascii="Arial" w:cs="Mangal" w:eastAsia="Lucida Sans Unicode" w:hAnsi="Arial"/>
      <w:color w:val="00000A"/>
      <w:sz w:val="24"/>
      <w:szCs w:val="24"/>
      <w:lang w:bidi="hi-IN" w:eastAsia="zh-CN" w:val="en-US"/>
    </w:rPr>
  </w:style>
  <w:style w:styleId="style1" w:type="paragraph">
    <w:name w:val="Heading 1"/>
    <w:basedOn w:val="style34"/>
    <w:next w:val="style1"/>
    <w:pPr/>
    <w:rPr/>
  </w:style>
  <w:style w:styleId="style2" w:type="paragraph">
    <w:name w:val="Heading 2"/>
    <w:basedOn w:val="style34"/>
    <w:next w:val="style2"/>
    <w:pPr/>
    <w:rPr/>
  </w:style>
  <w:style w:styleId="style3" w:type="paragraph">
    <w:name w:val="Heading 3"/>
    <w:basedOn w:val="style34"/>
    <w:next w:val="style3"/>
    <w:pPr/>
    <w:rPr/>
  </w:style>
  <w:style w:styleId="style15" w:type="character">
    <w:name w:val="Footer Char"/>
    <w:next w:val="style15"/>
    <w:rPr/>
  </w:style>
  <w:style w:styleId="style16" w:type="character">
    <w:name w:val="Header Char"/>
    <w:next w:val="style16"/>
    <w:rPr/>
  </w:style>
  <w:style w:styleId="style17" w:type="character">
    <w:name w:val="Default Paragraph Font"/>
    <w:next w:val="style17"/>
    <w:rPr/>
  </w:style>
  <w:style w:styleId="style18" w:type="character">
    <w:name w:val="ListLabel 11"/>
    <w:next w:val="style18"/>
    <w:rPr>
      <w:rFonts w:cs="Symbol"/>
    </w:rPr>
  </w:style>
  <w:style w:styleId="style19" w:type="character">
    <w:name w:val="ListLabel 10"/>
    <w:next w:val="style19"/>
    <w:rPr>
      <w:rFonts w:cs="Wingdings"/>
    </w:rPr>
  </w:style>
  <w:style w:styleId="style20" w:type="character">
    <w:name w:val="ListLabel 9"/>
    <w:next w:val="style20"/>
    <w:rPr>
      <w:rFonts w:cs="Courier New"/>
    </w:rPr>
  </w:style>
  <w:style w:styleId="style21" w:type="character">
    <w:name w:val="ListLabel 8"/>
    <w:next w:val="style21"/>
    <w:rPr>
      <w:rFonts w:cs="Arial Mon"/>
    </w:rPr>
  </w:style>
  <w:style w:styleId="style22" w:type="character">
    <w:name w:val="ListLabel 7"/>
    <w:next w:val="style22"/>
    <w:rPr>
      <w:rFonts w:cs="Symbol"/>
    </w:rPr>
  </w:style>
  <w:style w:styleId="style23" w:type="character">
    <w:name w:val="ListLabel 6"/>
    <w:next w:val="style23"/>
    <w:rPr>
      <w:rFonts w:cs="Wingdings"/>
    </w:rPr>
  </w:style>
  <w:style w:styleId="style24" w:type="character">
    <w:name w:val="ListLabel 5"/>
    <w:next w:val="style24"/>
    <w:rPr>
      <w:rFonts w:cs="Courier New"/>
    </w:rPr>
  </w:style>
  <w:style w:styleId="style25" w:type="character">
    <w:name w:val="ListLabel 4"/>
    <w:next w:val="style25"/>
    <w:rPr>
      <w:rFonts w:cs="Arial Mon"/>
    </w:rPr>
  </w:style>
  <w:style w:styleId="style26" w:type="character">
    <w:name w:val="ListLabel 3"/>
    <w:next w:val="style26"/>
    <w:rPr>
      <w:rFonts w:cs="Times New Roman"/>
    </w:rPr>
  </w:style>
  <w:style w:styleId="style27" w:type="character">
    <w:name w:val="ListLabel 2"/>
    <w:next w:val="style27"/>
    <w:rPr>
      <w:rFonts w:cs="Courier New"/>
    </w:rPr>
  </w:style>
  <w:style w:styleId="style28" w:type="character">
    <w:name w:val="ListLabel 1"/>
    <w:next w:val="style28"/>
    <w:rPr>
      <w:rFonts w:cs="Times New Roman" w:eastAsia="Times New Roman"/>
    </w:rPr>
  </w:style>
  <w:style w:styleId="style29" w:type="character">
    <w:name w:val="Body Text Indent Char"/>
    <w:basedOn w:val="style17"/>
    <w:next w:val="style29"/>
    <w:rPr>
      <w:rFonts w:ascii="Arial Mon" w:cs="Times New Roman" w:eastAsia="Times New Roman" w:hAnsi="Arial Mon"/>
      <w:sz w:val="24"/>
      <w:szCs w:val="20"/>
      <w:lang w:val="mn-MN"/>
    </w:rPr>
  </w:style>
  <w:style w:styleId="style30" w:type="character">
    <w:name w:val="Title Char"/>
    <w:basedOn w:val="style17"/>
    <w:next w:val="style30"/>
    <w:rPr>
      <w:rFonts w:ascii="Arial Mon" w:cs="Times New Roman" w:eastAsia="Times New Roman" w:hAnsi="Arial Mon"/>
      <w:b/>
      <w:bCs/>
      <w:sz w:val="24"/>
      <w:szCs w:val="24"/>
    </w:rPr>
  </w:style>
  <w:style w:styleId="style31" w:type="character">
    <w:name w:val="Heading 3 Char"/>
    <w:basedOn w:val="style17"/>
    <w:next w:val="style31"/>
    <w:rPr>
      <w:rFonts w:ascii="Arial Mon" w:cs="Times New Roman" w:eastAsia="Times New Roman" w:hAnsi="Arial Mon"/>
      <w:b/>
      <w:sz w:val="23"/>
      <w:szCs w:val="20"/>
    </w:rPr>
  </w:style>
  <w:style w:styleId="style32" w:type="character">
    <w:name w:val="Heading 1 Char"/>
    <w:basedOn w:val="style17"/>
    <w:next w:val="style32"/>
    <w:rPr>
      <w:rFonts w:ascii="Arial Mon" w:cs="Times New Roman" w:eastAsia="Times New Roman" w:hAnsi="Arial Mon"/>
      <w:b/>
      <w:sz w:val="24"/>
      <w:szCs w:val="20"/>
    </w:rPr>
  </w:style>
  <w:style w:styleId="style33" w:type="character">
    <w:name w:val="Emphasis"/>
    <w:next w:val="style33"/>
    <w:rPr>
      <w:i/>
      <w:iCs/>
    </w:rPr>
  </w:style>
  <w:style w:styleId="style34" w:type="paragraph">
    <w:name w:val="Heading"/>
    <w:basedOn w:val="style0"/>
    <w:next w:val="style35"/>
    <w:pPr>
      <w:keepNext/>
      <w:spacing w:after="120" w:before="240"/>
      <w:contextualSpacing w:val="false"/>
    </w:pPr>
    <w:rPr>
      <w:rFonts w:ascii="Arial" w:cs="Mangal" w:eastAsia="Lucida Sans Unicode" w:hAnsi="Arial"/>
      <w:sz w:val="28"/>
      <w:szCs w:val="28"/>
    </w:rPr>
  </w:style>
  <w:style w:styleId="style35" w:type="paragraph">
    <w:name w:val="Text Body"/>
    <w:basedOn w:val="style0"/>
    <w:next w:val="style35"/>
    <w:pPr>
      <w:spacing w:after="120" w:before="0"/>
      <w:contextualSpacing w:val="false"/>
    </w:pPr>
    <w:rPr/>
  </w:style>
  <w:style w:styleId="style36" w:type="paragraph">
    <w:name w:val="List"/>
    <w:basedOn w:val="style35"/>
    <w:next w:val="style36"/>
    <w:pPr/>
    <w:rPr>
      <w:rFonts w:ascii="Arial" w:cs="Mangal" w:hAnsi="Arial"/>
    </w:rPr>
  </w:style>
  <w:style w:styleId="style37" w:type="paragraph">
    <w:name w:val="Caption"/>
    <w:basedOn w:val="style0"/>
    <w:next w:val="style37"/>
    <w:pPr>
      <w:suppressLineNumbers/>
      <w:spacing w:after="120" w:before="120"/>
      <w:contextualSpacing w:val="false"/>
    </w:pPr>
    <w:rPr>
      <w:rFonts w:ascii="Arial" w:cs="Mangal" w:hAnsi="Arial"/>
      <w:i/>
      <w:iCs/>
      <w:sz w:val="24"/>
      <w:szCs w:val="24"/>
    </w:rPr>
  </w:style>
  <w:style w:styleId="style38" w:type="paragraph">
    <w:name w:val="Index"/>
    <w:basedOn w:val="style0"/>
    <w:next w:val="style38"/>
    <w:pPr>
      <w:suppressLineNumbers/>
    </w:pPr>
    <w:rPr>
      <w:rFonts w:ascii="Arial" w:cs="Mangal" w:hAnsi="Arial"/>
    </w:rPr>
  </w:style>
  <w:style w:styleId="style39" w:type="paragraph">
    <w:name w:val="Subtitle"/>
    <w:basedOn w:val="style34"/>
    <w:next w:val="style39"/>
    <w:pPr>
      <w:jc w:val="left"/>
    </w:pPr>
    <w:rPr/>
  </w:style>
  <w:style w:styleId="style40" w:type="paragraph">
    <w:name w:val="Title"/>
    <w:basedOn w:val="style34"/>
    <w:next w:val="style40"/>
    <w:pPr>
      <w:jc w:val="left"/>
    </w:pPr>
    <w:rPr/>
  </w:style>
  <w:style w:styleId="style41" w:type="paragraph">
    <w:name w:val="Quotations"/>
    <w:basedOn w:val="style0"/>
    <w:next w:val="style41"/>
    <w:pPr/>
    <w:rPr/>
  </w:style>
  <w:style w:styleId="style42" w:type="paragraph">
    <w:name w:val="Footer"/>
    <w:basedOn w:val="style0"/>
    <w:next w:val="style42"/>
    <w:pPr>
      <w:suppressLineNumbers/>
      <w:tabs>
        <w:tab w:leader="none" w:pos="4680" w:val="center"/>
        <w:tab w:leader="none" w:pos="9360" w:val="right"/>
      </w:tabs>
      <w:spacing w:after="0" w:before="0" w:line="100" w:lineRule="atLeast"/>
      <w:contextualSpacing w:val="false"/>
    </w:pPr>
    <w:rPr/>
  </w:style>
  <w:style w:styleId="style43" w:type="paragraph">
    <w:name w:val="Header"/>
    <w:basedOn w:val="style0"/>
    <w:next w:val="style43"/>
    <w:pPr>
      <w:suppressLineNumbers/>
      <w:tabs>
        <w:tab w:leader="none" w:pos="4680" w:val="center"/>
        <w:tab w:leader="none" w:pos="9360" w:val="right"/>
      </w:tabs>
      <w:spacing w:after="0" w:before="0" w:line="100" w:lineRule="atLeast"/>
      <w:contextualSpacing w:val="false"/>
    </w:pPr>
    <w:rPr/>
  </w:style>
  <w:style w:styleId="style44" w:type="paragraph">
    <w:name w:val="Table Contents"/>
    <w:basedOn w:val="style0"/>
    <w:next w:val="style44"/>
    <w:pPr/>
    <w:rPr/>
  </w:style>
  <w:style w:styleId="style45" w:type="paragraph">
    <w:name w:val="Text Body Indent"/>
    <w:basedOn w:val="style0"/>
    <w:next w:val="style45"/>
    <w:pPr>
      <w:ind w:firstLine="720" w:left="0" w:right="0"/>
      <w:jc w:val="both"/>
    </w:pPr>
    <w:rPr>
      <w:lang w:val="mn-MN"/>
    </w:rPr>
  </w:style>
  <w:style w:styleId="style46" w:type="paragraph">
    <w:name w:val="List Paragraph"/>
    <w:basedOn w:val="style0"/>
    <w:next w:val="style46"/>
    <w:pPr>
      <w:spacing w:after="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2014-10-01T16:59:36.30Z</dcterms:created>
  <cp:lastPrinted>2014-10-08T16:40:52.17Z</cp:lastPrinted>
  <cp:revision>0</cp:revision>
</cp:coreProperties>
</file>