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8"/>
        <w:spacing w:after="28" w:before="28"/>
        <w:ind w:firstLine="748" w:left="283" w:right="0"/>
        <w:contextualSpacing w:val="false"/>
        <w:jc w:val="both"/>
      </w:pPr>
      <w:r>
        <w:rPr/>
      </w:r>
    </w:p>
    <w:p>
      <w:pPr>
        <w:pStyle w:val="style28"/>
        <w:spacing w:after="0" w:before="0" w:line="100" w:lineRule="atLeast"/>
        <w:ind w:hanging="0" w:left="283" w:right="0"/>
        <w:contextualSpacing w:val="false"/>
        <w:jc w:val="center"/>
      </w:pPr>
      <w:r>
        <w:rPr/>
      </w:r>
    </w:p>
    <w:p>
      <w:pPr>
        <w:pStyle w:val="style28"/>
        <w:spacing w:after="0" w:before="0" w:line="100" w:lineRule="atLeast"/>
        <w:ind w:hanging="0" w:left="283" w:right="0"/>
        <w:contextualSpacing w:val="false"/>
        <w:jc w:val="center"/>
      </w:pPr>
      <w:r>
        <w:rPr/>
      </w:r>
    </w:p>
    <w:p>
      <w:pPr>
        <w:pStyle w:val="style28"/>
        <w:spacing w:after="0" w:before="0" w:line="100" w:lineRule="atLeast"/>
        <w:ind w:hanging="0" w:left="283" w:right="0"/>
        <w:contextualSpacing w:val="false"/>
        <w:jc w:val="center"/>
      </w:pPr>
      <w:r>
        <w:rPr/>
      </w:r>
    </w:p>
    <w:p>
      <w:pPr>
        <w:pStyle w:val="style28"/>
        <w:spacing w:after="0" w:before="0" w:line="100" w:lineRule="atLeast"/>
        <w:ind w:hanging="0" w:left="283" w:right="0"/>
        <w:contextualSpacing w:val="false"/>
        <w:jc w:val="center"/>
      </w:pPr>
      <w:r>
        <w:rPr/>
      </w:r>
    </w:p>
    <w:p>
      <w:pPr>
        <w:pStyle w:val="style28"/>
        <w:spacing w:after="0" w:before="0" w:line="100" w:lineRule="atLeast"/>
        <w:ind w:hanging="0" w:left="283" w:right="0"/>
        <w:contextualSpacing w:val="false"/>
        <w:jc w:val="center"/>
      </w:pPr>
      <w:r>
        <w:rPr/>
      </w:r>
    </w:p>
    <w:p>
      <w:pPr>
        <w:pStyle w:val="style28"/>
        <w:spacing w:after="0" w:before="0" w:line="100" w:lineRule="atLeast"/>
        <w:ind w:hanging="0" w:left="283" w:right="0"/>
        <w:contextualSpacing w:val="false"/>
        <w:jc w:val="center"/>
      </w:pPr>
      <w:r>
        <w:rPr/>
      </w:r>
    </w:p>
    <w:p>
      <w:pPr>
        <w:pStyle w:val="style28"/>
        <w:spacing w:after="0" w:before="0" w:line="100" w:lineRule="atLeast"/>
        <w:ind w:hanging="0" w:left="283" w:right="0"/>
        <w:contextualSpacing w:val="false"/>
        <w:jc w:val="center"/>
      </w:pPr>
      <w:r>
        <w:rPr/>
      </w:r>
    </w:p>
    <w:p>
      <w:pPr>
        <w:pStyle w:val="style28"/>
        <w:spacing w:after="0" w:before="0" w:line="100" w:lineRule="atLeast"/>
        <w:ind w:hanging="0" w:left="283" w:right="0"/>
        <w:contextualSpacing w:val="false"/>
        <w:jc w:val="center"/>
      </w:pPr>
      <w:r>
        <w:rPr/>
      </w:r>
    </w:p>
    <w:p>
      <w:pPr>
        <w:pStyle w:val="style28"/>
        <w:spacing w:after="0" w:before="0" w:line="100" w:lineRule="atLeast"/>
        <w:ind w:hanging="0" w:left="283" w:right="0"/>
        <w:contextualSpacing w:val="false"/>
        <w:jc w:val="center"/>
      </w:pPr>
      <w:r>
        <w:rPr/>
      </w:r>
    </w:p>
    <w:p>
      <w:pPr>
        <w:pStyle w:val="style28"/>
        <w:spacing w:after="0" w:before="0" w:line="100" w:lineRule="atLeast"/>
        <w:ind w:hanging="0" w:left="283" w:right="0"/>
        <w:contextualSpacing w:val="false"/>
        <w:jc w:val="center"/>
      </w:pPr>
      <w:r>
        <w:rPr>
          <w:rFonts w:cs="Arial"/>
          <w:sz w:val="24"/>
          <w:szCs w:val="24"/>
        </w:rPr>
        <w:t xml:space="preserve">Монгол Улсын Их Хурлын </w:t>
      </w:r>
      <w:r>
        <w:rPr>
          <w:rFonts w:cs="Arial"/>
          <w:sz w:val="24"/>
          <w:szCs w:val="24"/>
          <w:lang w:val="mn-MN"/>
        </w:rPr>
        <w:t xml:space="preserve">2014 оны хаврын ээлжит чуулганы Эдийн засгийн  </w:t>
      </w:r>
      <w:r>
        <w:rPr>
          <w:rFonts w:cs="Arial"/>
          <w:sz w:val="24"/>
          <w:szCs w:val="24"/>
          <w:lang w:val="mn-MN"/>
        </w:rPr>
        <w:t xml:space="preserve"> болон Байгаль орчин, хүнс, хөдөө аж ахуйн </w:t>
      </w:r>
      <w:r>
        <w:rPr>
          <w:rFonts w:cs="Arial"/>
          <w:sz w:val="24"/>
          <w:szCs w:val="24"/>
          <w:lang w:val="mn-MN"/>
        </w:rPr>
        <w:t xml:space="preserve">байнгын хорооны 05 дугаар сарын 07-ны өдөр  /Лхагва гараг/-ийн </w:t>
      </w:r>
    </w:p>
    <w:p>
      <w:pPr>
        <w:pStyle w:val="style28"/>
        <w:spacing w:after="0" w:before="0" w:line="100" w:lineRule="atLeast"/>
        <w:ind w:hanging="0" w:left="283" w:right="0"/>
        <w:contextualSpacing w:val="false"/>
        <w:jc w:val="center"/>
      </w:pPr>
      <w:r>
        <w:rPr>
          <w:rFonts w:cs="Arial"/>
          <w:sz w:val="24"/>
          <w:szCs w:val="24"/>
          <w:lang w:val="mn-MN"/>
        </w:rPr>
        <w:t xml:space="preserve">хамтарсан </w:t>
      </w:r>
      <w:r>
        <w:rPr>
          <w:rFonts w:cs="Arial"/>
          <w:sz w:val="24"/>
          <w:szCs w:val="24"/>
          <w:lang w:val="mn-MN"/>
        </w:rPr>
        <w:t>хуралдааны гар тэмдэглэл</w:t>
      </w:r>
    </w:p>
    <w:p>
      <w:pPr>
        <w:pStyle w:val="style28"/>
        <w:spacing w:after="0" w:before="0" w:line="100" w:lineRule="atLeast"/>
        <w:ind w:hanging="0" w:left="283" w:right="0"/>
        <w:contextualSpacing w:val="false"/>
        <w:jc w:val="center"/>
      </w:pPr>
      <w:r>
        <w:rPr/>
      </w:r>
    </w:p>
    <w:p>
      <w:pPr>
        <w:pStyle w:val="style0"/>
        <w:spacing w:after="0" w:before="0" w:line="100" w:lineRule="atLeast"/>
        <w:ind w:hanging="0" w:left="0" w:right="0"/>
        <w:contextualSpacing w:val="false"/>
        <w:jc w:val="both"/>
      </w:pPr>
      <w:r>
        <w:rPr>
          <w:rFonts w:cs="Arial"/>
          <w:sz w:val="24"/>
          <w:szCs w:val="24"/>
          <w:lang w:val="mn-MN"/>
        </w:rPr>
        <w:tab/>
        <w:t>Эдийн засгийн ба</w:t>
      </w:r>
      <w:bookmarkStart w:id="0" w:name="__UnoMark__11151_2131316772"/>
      <w:bookmarkEnd w:id="0"/>
      <w:r>
        <w:rPr>
          <w:rFonts w:cs="Arial"/>
          <w:sz w:val="24"/>
          <w:szCs w:val="24"/>
          <w:lang w:val="mn-MN"/>
        </w:rPr>
        <w:t xml:space="preserve">йнгын хорооны дарга, Улсын Их Хурлын гишүүн </w:t>
      </w:r>
      <w:r>
        <w:rPr>
          <w:rFonts w:cs="Arial"/>
          <w:sz w:val="24"/>
          <w:szCs w:val="24"/>
          <w:effect w:val="blinkBackground"/>
          <w:lang w:val="mn-MN"/>
        </w:rPr>
        <w:t>Б.Гарамгайбаатар</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27"/>
        <w:spacing w:after="0" w:before="0" w:line="100" w:lineRule="atLeast"/>
        <w:ind w:hanging="0" w:left="0" w:right="0"/>
        <w:contextualSpacing w:val="false"/>
      </w:pPr>
      <w:r>
        <w:rPr>
          <w:rFonts w:cs="Arial"/>
          <w:sz w:val="24"/>
          <w:szCs w:val="24"/>
          <w:lang w:val="mn-MN"/>
        </w:rPr>
        <w:tab/>
      </w:r>
    </w:p>
    <w:p>
      <w:pPr>
        <w:pStyle w:val="style0"/>
        <w:spacing w:after="0" w:before="0" w:line="100" w:lineRule="atLeast"/>
        <w:ind w:hanging="0" w:left="0" w:right="0"/>
        <w:contextualSpacing w:val="false"/>
        <w:jc w:val="both"/>
      </w:pPr>
      <w:r>
        <w:rPr>
          <w:rStyle w:val="style16"/>
          <w:rFonts w:cs="Arial"/>
          <w:b/>
          <w:bCs/>
          <w:i/>
          <w:iCs/>
          <w:color w:val="00000A"/>
          <w:sz w:val="24"/>
          <w:szCs w:val="24"/>
          <w:u w:val="none"/>
          <w:lang w:val="mn-MN"/>
        </w:rPr>
        <w:tab/>
        <w:t xml:space="preserve"> Ашигт  малтмалын тухай хуульд нэмэлт, өөрчлөлт оруулах тухай, Ашигт малтмалын тухай хуульд нэмэлт, өөрчлөлт оруулах тухай хуулийг дагаж мөрдөх журмын тухай, Ашигт малтмалын хайгуулын тусгай зөвшөөрөл шинээр олгохыг хориглох тухай хуулийг хүчингүй болсонд тооцох тухай, Тусгай хамгаалалттай газар нутгийн тухай хуульд нэмэлт оруулах тухай хуулийн төслүүд /</w:t>
      </w:r>
      <w:r>
        <w:rPr>
          <w:rStyle w:val="style16"/>
          <w:rFonts w:cs="Arial"/>
          <w:b w:val="false"/>
          <w:bCs w:val="false"/>
          <w:i/>
          <w:iCs/>
          <w:color w:val="00000A"/>
          <w:sz w:val="24"/>
          <w:szCs w:val="24"/>
          <w:u w:val="none"/>
          <w:lang w:val="mn-MN"/>
        </w:rPr>
        <w:t>хэлэлцэх эсэх</w:t>
      </w:r>
      <w:r>
        <w:rPr>
          <w:rStyle w:val="style16"/>
          <w:rFonts w:cs="Arial"/>
          <w:b/>
          <w:bCs/>
          <w:i/>
          <w:iCs/>
          <w:color w:val="00000A"/>
          <w:sz w:val="24"/>
          <w:szCs w:val="24"/>
          <w:u w:val="none"/>
          <w:lang w:val="mn-MN"/>
        </w:rPr>
        <w:t xml:space="preserve">/. </w:t>
      </w:r>
    </w:p>
    <w:p>
      <w:pPr>
        <w:pStyle w:val="style0"/>
        <w:spacing w:after="0" w:before="0" w:line="100" w:lineRule="atLeast"/>
        <w:ind w:firstLine="72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Байгаль орчин, хүнс, хөдөө аж ахуйн байнгын хорооны хуралдаанд 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 xml:space="preserve"> 12 </w:t>
      </w:r>
      <w:r>
        <w:rPr>
          <w:rFonts w:cs="Arial"/>
          <w:b w:val="false"/>
          <w:bCs w:val="false"/>
          <w:i w:val="false"/>
          <w:iCs w:val="false"/>
          <w:sz w:val="24"/>
          <w:szCs w:val="24"/>
        </w:rPr>
        <w:t xml:space="preserve">гишүүн ирж, </w:t>
      </w:r>
      <w:r>
        <w:rPr>
          <w:rFonts w:cs="Arial"/>
          <w:b w:val="false"/>
          <w:bCs w:val="false"/>
          <w:i w:val="false"/>
          <w:iCs w:val="false"/>
          <w:sz w:val="24"/>
          <w:szCs w:val="24"/>
          <w:lang w:val="mn-MN"/>
        </w:rPr>
        <w:t>63.1</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15 цаг 20 минутад  уг асуудлыг хэлэлцэж эхлэв. </w:t>
      </w:r>
    </w:p>
    <w:p>
      <w:pPr>
        <w:pStyle w:val="style27"/>
        <w:spacing w:after="0" w:before="0" w:line="100" w:lineRule="atLeast"/>
        <w:ind w:firstLine="749" w:left="0" w:right="0"/>
        <w:contextualSpacing w:val="false"/>
      </w:pPr>
      <w:r>
        <w:rPr/>
      </w:r>
    </w:p>
    <w:p>
      <w:pPr>
        <w:pStyle w:val="style27"/>
        <w:spacing w:after="0" w:before="0" w:line="100" w:lineRule="atLeast"/>
        <w:ind w:hanging="0" w:left="0" w:right="0"/>
        <w:contextualSpacing w:val="false"/>
      </w:pPr>
      <w:r>
        <w:rPr>
          <w:rFonts w:cs="Arial"/>
          <w:b/>
          <w:bCs/>
          <w:i w:val="false"/>
          <w:iCs w:val="false"/>
          <w:sz w:val="24"/>
          <w:szCs w:val="24"/>
        </w:rPr>
        <w:tab/>
        <w:t xml:space="preserve">Чөлөөтэй: </w:t>
      </w:r>
      <w:r>
        <w:rPr>
          <w:rFonts w:cs="Arial"/>
          <w:b w:val="false"/>
          <w:bCs w:val="false"/>
          <w:i w:val="false"/>
          <w:iCs w:val="false"/>
          <w:sz w:val="24"/>
          <w:szCs w:val="24"/>
          <w:lang w:val="mn-MN"/>
        </w:rPr>
        <w:t xml:space="preserve"> Су.Батболд;</w:t>
      </w:r>
    </w:p>
    <w:p>
      <w:pPr>
        <w:pStyle w:val="style27"/>
        <w:spacing w:after="0" w:before="0" w:line="100" w:lineRule="atLeast"/>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Тасалсан: </w:t>
      </w:r>
      <w:r>
        <w:rPr>
          <w:rFonts w:cs="Arial"/>
          <w:b w:val="false"/>
          <w:bCs w:val="false"/>
          <w:i w:val="false"/>
          <w:iCs w:val="false"/>
          <w:sz w:val="24"/>
          <w:szCs w:val="24"/>
          <w:lang w:val="mn-MN"/>
        </w:rPr>
        <w:t>О.Баасанхүү,  Б.Бат-Эрдэнэ, М.Зоригт,  Б.Наранхүү, Я.Содбаатар, Ц.Цолмон</w:t>
      </w:r>
    </w:p>
    <w:p>
      <w:pPr>
        <w:pStyle w:val="style27"/>
        <w:spacing w:after="0" w:before="0" w:line="100" w:lineRule="atLeast"/>
        <w:ind w:hanging="0" w:left="0" w:right="0"/>
        <w:contextualSpacing w:val="false"/>
        <w:jc w:val="both"/>
      </w:pPr>
      <w:r>
        <w:rPr>
          <w:rFonts w:cs="Arial"/>
          <w:b w:val="false"/>
          <w:bCs w:val="false"/>
          <w:i w:val="false"/>
          <w:iCs w:val="false"/>
          <w:sz w:val="24"/>
          <w:szCs w:val="24"/>
        </w:rPr>
        <w:tab/>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Хэлэлцэж буй асуудалтай холбогдуулан</w:t>
      </w:r>
      <w:r>
        <w:rPr>
          <w:rFonts w:cs="Arial"/>
          <w:b w:val="false"/>
          <w:bCs w:val="false"/>
          <w:i w:val="false"/>
          <w:iCs w:val="false"/>
          <w:color w:val="00000A"/>
          <w:sz w:val="24"/>
          <w:szCs w:val="24"/>
          <w:u w:val="none"/>
          <w:lang w:val="mn-MN"/>
        </w:rPr>
        <w:t xml:space="preserve"> Уул уурхайн сайд Д.Ганхуяг, Уул уурхайн яамны Стратегийн бодлого, төлөвлөлтийн газрын дарга Ч.Отгочулуу, Уул уурхайн яамны Геологийн бодлогын хэлтсийн дарга Б.Баатарцогт, </w:t>
      </w:r>
      <w:r>
        <w:rPr>
          <w:rStyle w:val="style16"/>
          <w:rFonts w:cs="Arial"/>
          <w:b/>
          <w:bCs/>
          <w:i/>
          <w:iCs/>
          <w:color w:val="00000A"/>
          <w:sz w:val="24"/>
          <w:szCs w:val="24"/>
          <w:u w:val="none"/>
          <w:lang w:val="mn-MN"/>
        </w:rPr>
        <w:t xml:space="preserve"> </w:t>
      </w:r>
      <w:r>
        <w:rPr>
          <w:rStyle w:val="style16"/>
          <w:rFonts w:cs="Arial"/>
          <w:b w:val="false"/>
          <w:bCs w:val="false"/>
          <w:i w:val="false"/>
          <w:iCs w:val="false"/>
          <w:color w:val="00000A"/>
          <w:sz w:val="24"/>
          <w:szCs w:val="24"/>
          <w:u w:val="none"/>
          <w:lang w:val="mn-MN"/>
        </w:rPr>
        <w:t>Ашигт  малтмалын газрын дэд дарга Д.Үүрийнтуяа нар оролцов.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6"/>
          <w:rFonts w:cs="Arial"/>
          <w:b w:val="false"/>
          <w:bCs w:val="false"/>
          <w:i w:val="false"/>
          <w:iCs w:val="false"/>
          <w:color w:val="00000A"/>
          <w:sz w:val="24"/>
          <w:szCs w:val="24"/>
          <w:u w:val="none"/>
          <w:lang w:val="mn-MN"/>
        </w:rPr>
        <w:tab/>
      </w:r>
      <w:r>
        <w:rPr>
          <w:rFonts w:cs="Arial"/>
          <w:b w:val="false"/>
          <w:bCs w:val="false"/>
          <w:i w:val="false"/>
          <w:iCs w:val="false"/>
          <w:color w:val="00000A"/>
          <w:sz w:val="24"/>
          <w:szCs w:val="24"/>
          <w:u w:val="none"/>
          <w:lang w:val="mn-MN"/>
        </w:rPr>
        <w:t xml:space="preserve">Улсын Их Хурлын Эдийн засгийн байнгын хорооны ажлын албаны ахлах зөвлөх Ж.Батсайхан, зөвлөх Ш.Ариунжаргал, референт Г.Баярмаа нар байлцав.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color w:val="00000A"/>
          <w:sz w:val="24"/>
          <w:szCs w:val="24"/>
          <w:u w:val="none"/>
          <w:lang w:val="mn-MN"/>
        </w:rPr>
        <w:tab/>
        <w:t xml:space="preserve">Хуулийн төсөл санаачлагчийн илтгэлийг Уул уурхайн сайд Д.Ганхуяг танилцуулав.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color w:val="00000A"/>
          <w:sz w:val="24"/>
          <w:szCs w:val="24"/>
          <w:u w:val="none"/>
          <w:lang w:val="mn-MN"/>
        </w:rPr>
        <w:tab/>
        <w:t>Төсөл санаачлагчийн илтгэлтэй холбогдуулан Улсын Их Хурлын гишүүн Д.Хаянхярваа, Х.Болорчулуун нарын тавьсан асуултад Уул уурхайн сайд Д.Ганхуяг хариулж, тайлбар хийв.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color w:val="00000A"/>
          <w:sz w:val="24"/>
          <w:szCs w:val="24"/>
          <w:u w:val="none"/>
          <w:lang w:val="mn-MN"/>
        </w:rPr>
        <w:tab/>
        <w:t xml:space="preserve">Уг асуудалтай холбогдуулан Улсын Их Хурлын гишүүн Х.Болорчулуун санал хэлэв. </w:t>
      </w:r>
    </w:p>
    <w:p>
      <w:pPr>
        <w:pStyle w:val="style0"/>
        <w:spacing w:after="0" w:before="0" w:line="100" w:lineRule="atLeast"/>
        <w:ind w:hanging="0" w:left="0" w:right="0"/>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Б.Гарамгайбаатар:</w:t>
      </w:r>
      <w:r>
        <w:rPr>
          <w:rFonts w:cs="Arial"/>
          <w:sz w:val="24"/>
          <w:szCs w:val="24"/>
        </w:rPr>
        <w:t xml:space="preserve"> Ашигт малтмалын тухай хуульд нэмэлт, өөрчлөлт оруулах тухай, Ашигт малтмалын тухай хуульд нэмэлт,  өөрчлөлт оруулах тухай хуулийг дагаж мөрдөх журмын тухай, Ашигт малтмалын хайгуулын тусгай зөвшөөрөл шинээр олгохыг хориглох тухай хуулийг хүчингүй болсонд тооцох тухай, Тусгай хамгаалалтын газар нутгийн тухай хуульд нэмэлт оруулах тухай хуулийн төслүүдийг чуулганы нэгдсэн хуралдаанаар хэлэлцүүлэх нь зүйтэй гэсэн </w:t>
      </w:r>
      <w:r>
        <w:rPr>
          <w:rFonts w:cs="Arial"/>
          <w:sz w:val="24"/>
          <w:szCs w:val="24"/>
          <w:lang w:val="mn-MN"/>
        </w:rPr>
        <w:t xml:space="preserve">саналыг дэмжиж </w:t>
      </w:r>
      <w:r>
        <w:rPr>
          <w:rFonts w:cs="Arial"/>
          <w:sz w:val="24"/>
          <w:szCs w:val="24"/>
        </w:rPr>
        <w:t>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sz w:val="24"/>
          <w:szCs w:val="24"/>
          <w:lang w:val="mn-MN"/>
        </w:rPr>
        <w:t>Зөвшөөрсөн</w:t>
        <w:tab/>
        <w:tab/>
        <w:t>13</w:t>
      </w:r>
    </w:p>
    <w:p>
      <w:pPr>
        <w:pStyle w:val="style0"/>
        <w:spacing w:after="0" w:before="0" w:line="100" w:lineRule="atLeast"/>
        <w:ind w:firstLine="720" w:left="0" w:right="0"/>
        <w:contextualSpacing w:val="false"/>
        <w:jc w:val="both"/>
      </w:pPr>
      <w:r>
        <w:rPr>
          <w:rFonts w:cs="Arial"/>
          <w:sz w:val="24"/>
          <w:szCs w:val="24"/>
          <w:lang w:val="mn-MN"/>
        </w:rPr>
        <w:t xml:space="preserve">Татгалзсан </w:t>
        <w:tab/>
        <w:tab/>
        <w:t>11</w:t>
      </w:r>
    </w:p>
    <w:p>
      <w:pPr>
        <w:pStyle w:val="style0"/>
        <w:spacing w:after="0" w:before="0" w:line="100" w:lineRule="atLeast"/>
        <w:ind w:firstLine="720" w:left="0" w:right="0"/>
        <w:contextualSpacing w:val="false"/>
        <w:jc w:val="both"/>
      </w:pPr>
      <w:r>
        <w:rPr>
          <w:rFonts w:cs="Arial"/>
          <w:sz w:val="24"/>
          <w:szCs w:val="24"/>
          <w:lang w:val="mn-MN"/>
        </w:rPr>
        <w:t xml:space="preserve">Бүгд </w:t>
        <w:tab/>
        <w:tab/>
        <w:tab/>
        <w:t>24</w:t>
      </w:r>
    </w:p>
    <w:p>
      <w:pPr>
        <w:pStyle w:val="style0"/>
        <w:spacing w:after="0" w:before="0" w:line="100" w:lineRule="atLeast"/>
        <w:contextualSpacing w:val="false"/>
        <w:jc w:val="both"/>
      </w:pPr>
      <w:r>
        <w:rPr>
          <w:rFonts w:cs="Arial"/>
          <w:sz w:val="24"/>
          <w:szCs w:val="24"/>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A"/>
          <w:sz w:val="24"/>
          <w:szCs w:val="24"/>
          <w:u w:val="none"/>
          <w:lang w:val="mn-MN"/>
        </w:rPr>
        <w:tab/>
        <w:t>Байнгын хорооноос гарах санал, дүгнэлтийг Улсын Их Хурлын чуулганы нэгдсэн хуралдаанд Улсын Их Хурлын гишүүн Д.Зоригт танилцуулахаар тогтов.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A"/>
          <w:sz w:val="24"/>
          <w:szCs w:val="24"/>
          <w:u w:val="none"/>
          <w:lang w:val="mn-MN"/>
        </w:rPr>
        <w:tab/>
      </w:r>
      <w:r>
        <w:rPr>
          <w:rFonts w:cs="Arial"/>
          <w:b/>
          <w:bCs/>
          <w:i w:val="false"/>
          <w:iCs w:val="false"/>
          <w:color w:val="00000A"/>
          <w:sz w:val="24"/>
          <w:szCs w:val="24"/>
          <w:u w:val="none"/>
          <w:lang w:val="mn-MN"/>
        </w:rPr>
        <w:t xml:space="preserve">Уг асуудлыг    15 цаг 55 минутад    хэлэлцэж дуусав. </w:t>
      </w:r>
    </w:p>
    <w:p>
      <w:pPr>
        <w:pStyle w:val="style0"/>
        <w:spacing w:after="0" w:before="0" w:line="100" w:lineRule="atLeast"/>
        <w:contextualSpacing w:val="false"/>
        <w:jc w:val="both"/>
      </w:pPr>
      <w:r>
        <w:rPr>
          <w:b/>
          <w:bCs/>
        </w:rPr>
      </w:r>
    </w:p>
    <w:p>
      <w:pPr>
        <w:pStyle w:val="style0"/>
        <w:spacing w:after="0" w:before="0" w:line="100" w:lineRule="atLeast"/>
        <w:contextualSpacing w:val="false"/>
        <w:jc w:val="both"/>
      </w:pPr>
      <w:r>
        <w:rPr/>
      </w:r>
    </w:p>
    <w:p>
      <w:pPr>
        <w:pStyle w:val="style0"/>
        <w:spacing w:after="0" w:before="0" w:line="100" w:lineRule="atLeast"/>
        <w:ind w:hanging="0" w:left="0" w:right="0"/>
        <w:contextualSpacing w:val="false"/>
        <w:jc w:val="both"/>
      </w:pPr>
      <w:r>
        <w:rPr>
          <w:rFonts w:cs="Arial"/>
          <w:b/>
          <w:bCs/>
          <w:i/>
          <w:iCs/>
          <w:color w:val="00000A"/>
          <w:sz w:val="24"/>
          <w:szCs w:val="24"/>
          <w:u w:val="none"/>
          <w:lang w:val="mn-MN"/>
        </w:rPr>
        <w:tab/>
      </w:r>
    </w:p>
    <w:p>
      <w:pPr>
        <w:pStyle w:val="style26"/>
        <w:spacing w:after="0" w:before="0" w:line="100" w:lineRule="atLeast"/>
        <w:contextualSpacing w:val="false"/>
        <w:jc w:val="both"/>
      </w:pPr>
      <w:r>
        <w:rPr>
          <w:rFonts w:cs="Arial"/>
          <w:b w:val="false"/>
          <w:bCs w:val="false"/>
          <w:sz w:val="22"/>
          <w:szCs w:val="22"/>
          <w:lang w:val="ms-MY"/>
        </w:rPr>
        <w:tab/>
        <w:t xml:space="preserve">Тэмдэглэлтэй танилцсан: </w:t>
      </w:r>
    </w:p>
    <w:p>
      <w:pPr>
        <w:pStyle w:val="style26"/>
        <w:spacing w:after="0" w:before="0" w:line="100" w:lineRule="atLeast"/>
        <w:contextualSpacing w:val="false"/>
        <w:jc w:val="both"/>
      </w:pPr>
      <w:r>
        <w:rPr>
          <w:rFonts w:cs="Arial"/>
          <w:b w:val="false"/>
          <w:bCs w:val="false"/>
          <w:sz w:val="22"/>
          <w:szCs w:val="22"/>
          <w:lang w:val="mn-MN"/>
        </w:rPr>
        <w:tab/>
      </w:r>
      <w:r>
        <w:rPr>
          <w:rFonts w:cs="Arial"/>
          <w:b w:val="false"/>
          <w:bCs w:val="false"/>
          <w:sz w:val="22"/>
          <w:szCs w:val="22"/>
          <w:lang w:val="mn-MN"/>
        </w:rPr>
        <w:t>БАЙГАЛЬ ОРЧИН, ХҮНС, ХӨДӨӨ АЖ</w:t>
      </w:r>
    </w:p>
    <w:p>
      <w:pPr>
        <w:pStyle w:val="style26"/>
        <w:spacing w:after="0" w:before="0" w:line="100" w:lineRule="atLeast"/>
        <w:contextualSpacing w:val="false"/>
        <w:jc w:val="both"/>
      </w:pPr>
      <w:r>
        <w:rPr>
          <w:rFonts w:cs="Arial"/>
          <w:b w:val="false"/>
          <w:bCs w:val="false"/>
          <w:sz w:val="22"/>
          <w:szCs w:val="22"/>
          <w:lang w:val="mn-MN"/>
        </w:rPr>
        <w:tab/>
        <w:t xml:space="preserve">АХУЙН БАЙНГЫН ХОРООНЫ ДАРГА </w:t>
        <w:tab/>
        <w:tab/>
        <w:tab/>
        <w:tab/>
        <w:t>Г.БАЯРСАЙХАН</w:t>
      </w:r>
    </w:p>
    <w:p>
      <w:pPr>
        <w:pStyle w:val="style26"/>
        <w:spacing w:after="0" w:before="0" w:line="100" w:lineRule="atLeast"/>
        <w:contextualSpacing w:val="false"/>
        <w:jc w:val="both"/>
      </w:pPr>
      <w:r>
        <w:rPr>
          <w:rFonts w:cs="Arial"/>
          <w:b w:val="false"/>
          <w:bCs w:val="false"/>
          <w:sz w:val="22"/>
          <w:szCs w:val="22"/>
          <w:lang w:val="ms-MY"/>
        </w:rPr>
      </w:r>
    </w:p>
    <w:p>
      <w:pPr>
        <w:pStyle w:val="style26"/>
        <w:spacing w:after="0" w:before="0" w:line="100" w:lineRule="atLeast"/>
        <w:contextualSpacing w:val="false"/>
        <w:jc w:val="both"/>
      </w:pPr>
      <w:r>
        <w:rPr>
          <w:rFonts w:cs="Arial"/>
          <w:b w:val="false"/>
          <w:bCs w:val="false"/>
          <w:sz w:val="22"/>
          <w:szCs w:val="22"/>
          <w:lang w:val="ms-MY"/>
        </w:rPr>
      </w:r>
    </w:p>
    <w:p>
      <w:pPr>
        <w:pStyle w:val="style26"/>
        <w:spacing w:after="0" w:before="0" w:line="100" w:lineRule="atLeast"/>
        <w:contextualSpacing w:val="false"/>
        <w:jc w:val="both"/>
      </w:pPr>
      <w:r>
        <w:rPr>
          <w:rFonts w:cs="Arial"/>
          <w:b w:val="false"/>
          <w:bCs w:val="false"/>
          <w:sz w:val="22"/>
          <w:szCs w:val="22"/>
          <w:lang w:val="ms-MY"/>
        </w:rPr>
        <w:tab/>
      </w:r>
    </w:p>
    <w:p>
      <w:pPr>
        <w:pStyle w:val="style26"/>
        <w:spacing w:after="0" w:before="0" w:line="100" w:lineRule="atLeast"/>
        <w:ind w:hanging="0" w:left="0" w:right="0"/>
        <w:contextualSpacing w:val="false"/>
        <w:jc w:val="both"/>
      </w:pPr>
      <w:r>
        <w:rPr>
          <w:rFonts w:cs="Arial"/>
          <w:b w:val="false"/>
          <w:bCs w:val="false"/>
          <w:sz w:val="22"/>
          <w:szCs w:val="22"/>
          <w:lang w:val="ms-MY"/>
        </w:rPr>
        <w:tab/>
        <w:t xml:space="preserve">Тэмдэглэл хөтөлсөн: </w:t>
      </w:r>
    </w:p>
    <w:p>
      <w:pPr>
        <w:pStyle w:val="style26"/>
        <w:spacing w:after="0" w:before="0" w:line="100" w:lineRule="atLeast"/>
        <w:contextualSpacing w:val="false"/>
        <w:jc w:val="both"/>
      </w:pPr>
      <w:r>
        <w:rPr>
          <w:rFonts w:cs="Arial"/>
          <w:b w:val="false"/>
          <w:bCs w:val="false"/>
          <w:sz w:val="22"/>
          <w:szCs w:val="22"/>
          <w:lang w:val="ms-MY"/>
        </w:rPr>
        <w:tab/>
      </w:r>
      <w:r>
        <w:rPr>
          <w:rFonts w:cs="Arial"/>
          <w:b w:val="false"/>
          <w:bCs w:val="false"/>
          <w:sz w:val="22"/>
          <w:szCs w:val="22"/>
          <w:lang w:val="mn-MN"/>
        </w:rPr>
        <w:t>ПРОТОКОЛЫН АЛБАНЫ</w:t>
      </w:r>
    </w:p>
    <w:p>
      <w:pPr>
        <w:pStyle w:val="style25"/>
        <w:spacing w:after="0" w:before="0" w:line="100" w:lineRule="atLeast"/>
        <w:contextualSpacing w:val="false"/>
        <w:jc w:val="both"/>
      </w:pPr>
      <w:r>
        <w:rPr>
          <w:rFonts w:cs="Arial"/>
          <w:b w:val="false"/>
          <w:bCs w:val="false"/>
          <w:sz w:val="22"/>
          <w:szCs w:val="22"/>
          <w:lang w:val="ms-MY"/>
        </w:rPr>
        <w:tab/>
      </w:r>
      <w:r>
        <w:rPr>
          <w:rFonts w:cs="Arial"/>
          <w:b w:val="false"/>
          <w:bCs w:val="false"/>
          <w:i w:val="false"/>
          <w:iCs w:val="false"/>
          <w:sz w:val="22"/>
          <w:szCs w:val="22"/>
          <w:lang w:val="mn-MN"/>
        </w:rPr>
        <w:t>ШИНЖЭЭЧ</w:t>
      </w:r>
      <w:r>
        <w:rPr>
          <w:rFonts w:cs="Arial"/>
          <w:b w:val="false"/>
          <w:bCs w:val="false"/>
          <w:i w:val="false"/>
          <w:iCs w:val="false"/>
          <w:sz w:val="22"/>
          <w:szCs w:val="22"/>
          <w:lang w:val="ms-MY"/>
        </w:rPr>
        <w:tab/>
        <w:tab/>
      </w:r>
      <w:r>
        <w:rPr>
          <w:rFonts w:cs="Arial"/>
          <w:b w:val="false"/>
          <w:bCs w:val="false"/>
          <w:sz w:val="22"/>
          <w:szCs w:val="22"/>
          <w:lang w:val="ms-MY"/>
        </w:rPr>
        <w:tab/>
        <w:tab/>
        <w:tab/>
        <w:tab/>
        <w:tab/>
        <w:tab/>
      </w:r>
      <w:r>
        <w:rPr>
          <w:rFonts w:cs="Arial"/>
          <w:b w:val="false"/>
          <w:bCs w:val="false"/>
          <w:i w:val="false"/>
          <w:iCs w:val="false"/>
          <w:sz w:val="22"/>
          <w:szCs w:val="22"/>
          <w:u w:val="none"/>
          <w:lang w:val="mn-MN"/>
        </w:rPr>
        <w:t xml:space="preserve">Д.ЦЭНДСҮРЭН </w:t>
      </w:r>
    </w:p>
    <w:p>
      <w:pPr>
        <w:pStyle w:val="style26"/>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r>
    </w:p>
    <w:p>
      <w:pPr>
        <w:pStyle w:val="style26"/>
        <w:spacing w:after="0" w:before="0"/>
        <w:contextualSpacing w:val="false"/>
      </w:pPr>
      <w:r>
        <w:rPr>
          <w:rFonts w:cs="Arial"/>
          <w:sz w:val="24"/>
          <w:szCs w:val="24"/>
          <w:lang w:val="mn-MN"/>
        </w:rPr>
        <w:t xml:space="preserve">МОНГОЛ УЛСЫН ИХ ХУРЛЫН  2014 ОНЫ ХАВРЫН ЭЭЛЖИТ ЧУУЛГАНЫ </w:t>
      </w:r>
    </w:p>
    <w:p>
      <w:pPr>
        <w:pStyle w:val="style26"/>
        <w:spacing w:after="0" w:before="0"/>
        <w:contextualSpacing w:val="false"/>
      </w:pPr>
      <w:r>
        <w:rPr>
          <w:rFonts w:cs="Arial"/>
          <w:sz w:val="24"/>
          <w:szCs w:val="24"/>
          <w:lang w:val="mn-MN"/>
        </w:rPr>
        <w:t xml:space="preserve">ЭДИЙН ЗАСГИЙН  </w:t>
      </w:r>
      <w:r>
        <w:rPr>
          <w:rFonts w:cs="Arial"/>
          <w:sz w:val="24"/>
          <w:szCs w:val="24"/>
          <w:lang w:val="mn-MN"/>
        </w:rPr>
        <w:t xml:space="preserve">БОЛОН БАЙГАЛЬ ОРЧИН, ХҮНС, ХӨДӨӨ АЖ АХУЙН </w:t>
      </w:r>
      <w:r>
        <w:rPr>
          <w:rFonts w:cs="Arial"/>
          <w:sz w:val="24"/>
          <w:szCs w:val="24"/>
          <w:lang w:val="mn-MN"/>
        </w:rPr>
        <w:t xml:space="preserve">БАЙНГЫН ХОРООНЫ 05 ДУГААР САРЫН 07-НЫ ӨДӨР /ЛХАГВА ГАРАГ/-ИЙН </w:t>
      </w:r>
      <w:r>
        <w:rPr>
          <w:rFonts w:cs="Arial"/>
          <w:sz w:val="24"/>
          <w:szCs w:val="24"/>
          <w:lang w:val="mn-MN"/>
        </w:rPr>
        <w:t xml:space="preserve">ХАМТАРСАН </w:t>
      </w:r>
      <w:r>
        <w:rPr>
          <w:rFonts w:cs="Arial"/>
          <w:sz w:val="24"/>
          <w:szCs w:val="24"/>
          <w:lang w:val="mn-MN"/>
        </w:rPr>
        <w:t xml:space="preserve">ХУРАЛДААНЫ ДЭЛГЭРЭНГҮЙ </w:t>
      </w:r>
    </w:p>
    <w:p>
      <w:pPr>
        <w:pStyle w:val="style26"/>
        <w:spacing w:after="0" w:before="0"/>
        <w:contextualSpacing w:val="false"/>
      </w:pPr>
      <w:r>
        <w:rPr>
          <w:rFonts w:cs="Arial"/>
          <w:sz w:val="24"/>
          <w:szCs w:val="24"/>
          <w:lang w:val="mn-MN"/>
        </w:rPr>
        <w:t>ТЭМДЭГЛЭЛ</w:t>
      </w:r>
    </w:p>
    <w:p>
      <w:pPr>
        <w:pStyle w:val="style26"/>
        <w:spacing w:after="0" w:before="0"/>
        <w:contextualSpacing w:val="false"/>
        <w:jc w:val="both"/>
      </w:pPr>
      <w:r>
        <w:rPr/>
      </w:r>
    </w:p>
    <w:p>
      <w:pPr>
        <w:pStyle w:val="style26"/>
        <w:spacing w:after="0" w:before="0"/>
        <w:contextualSpacing w:val="false"/>
        <w:jc w:val="both"/>
      </w:pPr>
      <w:r>
        <w:rPr/>
      </w:r>
    </w:p>
    <w:p>
      <w:pPr>
        <w:pStyle w:val="style0"/>
        <w:spacing w:after="0" w:before="0" w:line="100" w:lineRule="atLeast"/>
        <w:ind w:firstLine="720" w:left="0" w:right="0"/>
        <w:contextualSpacing w:val="false"/>
        <w:jc w:val="both"/>
      </w:pPr>
      <w:r>
        <w:rPr>
          <w:rFonts w:cs="Arial"/>
          <w:b/>
          <w:sz w:val="24"/>
          <w:szCs w:val="24"/>
        </w:rPr>
        <w:t>Ашигт  малтмалын тухай хуульд нэмэлт, өөрчлөлт оруулах тухай, Ашигт малтмалын тухай хуульд нэмэлт, өөрчлөлт оруулах тухай хуулийг дагаж мөрдөх журмын тухай, Ашигт малтмалын хайгуулын тусгай зөвшөөрөл шинээр олгохыг хориглох тухай хуулийг хүчингүй болсонд тооцох тухай, Тусгай хамгаалалттай газар нутгийн тухай хуульд нэмэлт оруулах тухай хуулийн төслүүдийн хэлэлцэх эсэх асуудал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Энэ асуудлаар Байгаль орчин, хүнс, хөдөө аж ахуйн байнгын хороотой хамтарсан хуралдаан болж байгаа гэдгийг гишүүдэд анхааруулъя. Тийм учраас Байгаль орчин, хүнс, хөдөө аж ахуйн байнгын хорооны гишүүдийн ирц хүрсэн байх гэж ингэж бодож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Ашигт  малтмалын тухай хуульд нэмэлт, өөрчлөлт оруулах тухай болон холбогдох бусад хуулийн төслүүдийн талаар төсөл санаачлагчийн илтгэлийг сонсъё. Илтгэлийг Уул уурхайн сайд Ганхуяг танилцуулна.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sz w:val="24"/>
          <w:szCs w:val="24"/>
        </w:rPr>
        <w:t>Д.Ганхуяг</w:t>
      </w:r>
      <w:r>
        <w:rPr>
          <w:rFonts w:cs="Arial"/>
          <w:sz w:val="24"/>
          <w:szCs w:val="24"/>
        </w:rPr>
        <w:t>:  Эдийн засгийн байнгын хорооны гишүүд, Байгаль орчин, хүнс, хөдөө аж ахуйн байнгын хорооны гишүүдийн өдрийн амрыг эрье.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Ашигт  малтмалын тухай хуульд нэмэлт, өөрчлөлт оруулах тухай хуулийн төслийн талаар та бүхэнд танилцуулга хийе.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Ашигт малтмалын тухай хуульд 2012 -16 оны  Засгийн газрын үйл ажиллагааны хөтөлбөр, өмнөх чуулганаар баталсан Төрөөс эрдэс баялгийн салбарт баримтлах бодлогод нийцүүлэн өөрчлөлтийг оруулж, хуулийн төслийг та бүхэнд танилцуулж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 xml:space="preserve">Энэ хуулийн төсөл батлагдсанаар дараах үр дүн гарна гэж ингэж үзэж байна. Нэгдүгээрт, Төрөөс геологийн салбарт баримтлах, нэгдсэн бодлогыг хэрэгжүүлэх зорилтын хүрээнд геологийн судалгаа, шинжилгээ,  мэдээллийн нэгдсэн сантай болно. Орон нутгийн зүгээс Ашигт малтмалын чиглэлээр явуулж буй аж ахуйн нэгжүүдийг орон нутгийн зүгээс дэмжих, хамтран ажиллах сонирхол нэмэгдэнэ.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 xml:space="preserve">Байгаль орчныг хамгаалах нөхөн сэргээх, уурхайн хаалттай үйл ажиллагаанд хариуцлагатай уул уурхайн зарчимд нийцэж явагдана. Ашигт малтмалын ордын нөөцийг хаягдалгүй ашиглах боломж бүрдэнэ. Стратегийн ач холбогдол бүхий орд болон бичил уурхайтай холбоотой нийгэмд эерэг ойлголт бий болно. Салбарын хөрөнгө оруулалт болон баялгийн сан арвижиж, экспортол буй ашигт малтмалын боловсруулалтын түвшин дээшилснээр нэмүү өртөг эх орондоо үлдэх, экспортын орлого нэмэгдэх, боловсруулах үйлдвэрт тэргүүний техник технологи нэвтрэх, хөдөлмөр эрхлэлт эрс нэмэгдэх эерэг үр дүн гарна гэж ингэж үзэж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Эдийн засгийн үр дагаврын тухайд  ашигт  малтмалын хайгуулын тусгай зөвшөөрлийг төрөөс зөвшөөрсөн газар нутагт олгосноор хөрөнгө оруулалт нэмэгдэж, ашигт малтмалын нөөц арвижих, эдийн засгийн чадавхи, дархлаа сайжрах боломж нэмэгдэнэ.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 xml:space="preserve">Тусгай зөвшөөрөл эзэмшигч нь өөрийн үйл ажиллагаандаа шаардлагатай бараа ажил, үйлчилгээ авах, туслан гүйцэтгэгч сонгоход тэргүүн ээлжинд  Монгол Улсад бүртгэлтэй татвар төлөгч, аж ахуйн нэгжид давуу эрх олгодог болсноор дотоодын аж ахуйн нэгжүүдийн орлого нэмэгдэнэ гэж ингэж ойлгож байна. Аж ахуйн нэгжийн зүгээс шаардлага хангасан бараа ажил үйлчилгээг авна гэсэн ийм нөхцөлийг оруулж өгсөн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Улсын төсвийн хөрөнгөөр гүйцэтгэсэн геологийн судалгааны ажлын үр дүнд хэтийн төлөв бүхий талбай илэрвэл  ашигт малтмалын олборлох үйлдвэрийн салбарт тэргүүлэгч орнуудын туршлагыг үндэслэн тухайн талбайг эрэл хайгуул, үнэлгээний ажлаар мэргэшсэн хувийн хэвшлийн аж ахуйн нэгжээр нэмэлт ажлыг гэрээний үндсэн дээр хийлгэж, үнэ цэнийг нэмэгдүүлэх, дуудлагын худалдаагаар хайгуулын тусгай зөвшөөрлийг олгодог болно. Ингэснээр улсад орох орлого нэмэгдэнэ гэж үзэж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 xml:space="preserve">Мэргэшсэн мэргэжилтэн, шинжээч болох эрхийг үндэсний болон олон улсын хэмжээнд хүлээн зөвшөөрөгдсөн геологи, уул уурхайн салбарыг төрийн бус байгууллагаас олгодог болсноор ашигт малтмалын нөөц, ордын нөөцийг олон улсад, сонсогдохгүй байна уу.  Эрдэс баялгийн салбарын бодлого хууль эрх зүйн орчин урт хугацаанд тогтвортой болж, өрсөлдөх чадвар нэмэгдүүлэх чиглэлээр хууль санаачлагчид судалгаанд үндэслэн зөвлөмж гаргах чиг үүрэг бүхий орон тооны бус бодлогын зөвлөлтэй болсноор хөрөнгө оруулалт ихээр шаарддаг үнийн хэлбэлзэл ихтэй бүтээгдэхүүн үйлдвэрлэдэг олборлох үйлдвэрлэлийн салбарын эрх зүйн орчин урт хугацаанд тогтвортой байх нөхцөл бүрдэнэ.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Хариуцлагатай уул уурхайг хөгжүүлэх зарчмыг мөрдөх зорилтын хүрээнд тусгай зөвшөөрөл эзэмшигч нь байгаль орчин, нөхөн сэргээлт, уурхайн хаалттай холбоотой үйл ажиллагаандаа үүрэг хариуцлагаа гүйцэтгэхэд эдгээр асуудлаар холбогдох төрийн захиргааны байгууллагуудад тогтмол мэдээлэл хүргэх ажилтантай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 xml:space="preserve">Тухайн ордыг ашиглах ТЭЗҮ  дээр уурхайн бүтээгдэхүүнийг орон нутаг болон улсын болон олон улсын чанартай замд хүргэх замын төрөл, уурхайн нөхөн сэргээлтэд шаардагдах зардлыг тусгадаг болно.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 xml:space="preserve">Хариуцлагатай уул уурхайн эдийн засгийн үр өгөөжийг нэмэгдүүлэх зарчим, түүнд аж ахуйн нэгжид нь олборлосон, баяжуулсан, хагас боловсруулсан бүтээгдэхүүнийг  Монгол Улсын нутаг дэвсгэрт үйл ажиллагаа эрхэлж байгаа боловсруулах үйлдвэрт тэргүүн ээлжинд зах зээлийн үнээр нийлүүлж хамтран ажилладаг болно. Тусгай зөвшөөрөл эзэмшигчдийн хайгуулын ажлын тайлан болон уулын ажлын төлөвлөгөө болон бусад зорилтуудын хэрэгжилтийг сайжруулах зорилгоор </w:t>
      </w:r>
      <w:r>
        <w:rPr>
          <w:rFonts w:cs="Arial"/>
          <w:sz w:val="24"/>
          <w:szCs w:val="24"/>
          <w:lang w:val="mn-MN"/>
        </w:rPr>
        <w:t>эдгээртэй</w:t>
      </w:r>
      <w:r>
        <w:rPr>
          <w:rFonts w:cs="Arial"/>
          <w:sz w:val="24"/>
          <w:szCs w:val="24"/>
        </w:rPr>
        <w:t xml:space="preserve"> холбогдсон үнэн зөв мэдээллийг хууль тогтоомжид заасан хугацаанд холбогдох төрийн захиргааны байгууллагад ирүүлэхтэй холбогдсон үүрэг хариуцлагыг тодорхой болгож өгсөн.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Мөн төрийн захиргааны байгууллагаас аж ахуйн нэгжид тусгай зөвшөөрөл олгоход бүрдүүлэх материал, аж ахуйн нэгжээс хууль тогтоомжид заасны дагуу ирүүлэх мэдээллийг цахим хэлбэрээр авдаг болохоор төсөлд тусгаж өглөө. Энэ хуулийн төсөл батлагдсанаар Монгол Улсын геологи, уул уурхайн салбарын бүтээмж, өрсөлдөх чадвар нэмэгдэж, хөрөнгө оруулалт ихээр шаардагддаг энэ салбарын эрх зүйн орчин урт хугацаанд тогтвортой байх нөхцөл бүрдэж, хөрөнгө оруулалт ихээр нэмэгдэж, улмаар энэ салбарын эдийн засаг, нийгмийн хөгжилд  оруулах хувь нэмэр өсөж, цаашид эдийн засгийн тогтвортой өсөлт хадгалагдах боломж бүрдэнэ гэж үзэж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Танилцуулгыг хийлээ.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sz w:val="24"/>
          <w:szCs w:val="24"/>
        </w:rPr>
        <w:t>Б.Гарамгайбаатар</w:t>
      </w:r>
      <w:r>
        <w:rPr>
          <w:rFonts w:cs="Arial"/>
          <w:sz w:val="24"/>
          <w:szCs w:val="24"/>
        </w:rPr>
        <w:t>: Ганхуяг сайдад баярлалаа. Уг асуудлыг хэлэлцүүлж байгаа Засгийн газрын ажлын хэсгийн бүрэлдэхүүнийг танилцуулъя. Ч.Отгочулуу- Уул уурхайн яамны Стратеги бодлого, төлөвлөлтийн газрын дарга,  Б.Баатарцогт- Уул уурхайн яамны Геологийн бодлогын хэлтсийн дарга, Д.Үүрийнтуяа- Ашигт  малтмалын газрын дэд дарга эдгээр хүмүүс оролцож байна.</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sz w:val="24"/>
          <w:szCs w:val="24"/>
        </w:rPr>
        <w:tab/>
        <w:t>Монгол Улсын Их Хурлын дэгийн тухай хуулийн 18.4-т заасны дагуу төсөл санаачлагчаас асуух асуулттай гишүүд байвал нэрээ өгөөрэй. Хаянхярваа гишүүн, Болорчулуун гишүүн. Өөр хүн байхгүй бол тасаллаа. Болорчулуун гишүүн асуултаа асууя, дараа нь Хаянхярваа гишүүн асуултаа асууна.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sz w:val="24"/>
          <w:szCs w:val="24"/>
        </w:rPr>
        <w:t>Х.Болорчулуун</w:t>
      </w:r>
      <w:r>
        <w:rPr>
          <w:rFonts w:cs="Arial"/>
          <w:sz w:val="24"/>
          <w:szCs w:val="24"/>
        </w:rPr>
        <w:t>: Энэ Ашигт малтмалын хуулийн 5.5-д, хуучин  2006 оны  хууль байгаа, нэмж  оруулсан 97 оны хуулин дээр. Ингэсний улмаас Монгол Улс өөрийнхөө  баялгийг өөрсдөө өндөр хүүтэй мөнгө төгрөгөөр худалдаж авах ийм боломж бүрдсэн юмаа. Ийм болсон, тийм ч учраас энэ Оюутолгой шиг ийм том орд дээр  маш их хүүтэй торгууль  явж байна. Хуучин энэ 5.4 дээр 51 хувийг гэж байсан, одоо  50 хүртэл хувийг эдийн засгийн үр өгөөж болон ашгийн түвшинг харгалзан 50 хүртэл хувиар тогтоож болно гэсэн байна. Хууль бол эсхүл болно, болохгүй гэж заахаас биш, болно гэсэн байна. Яагаад  51 хувиа больчихоод  50 хүртэл хувиар тогтооно гэсэн юм бэ. 5.5-д нь болохоор 34 хувиар  тогтоож болно гэсэн байна. Энэ тал дээр тодруулж өгөхгүй юу?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 xml:space="preserve">Б.Гарамгайбаатар: </w:t>
      </w:r>
      <w:r>
        <w:rPr>
          <w:rFonts w:cs="Arial"/>
          <w:sz w:val="24"/>
          <w:szCs w:val="24"/>
        </w:rPr>
        <w:t>Ганхуяг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Д.Ганхуяг</w:t>
      </w:r>
      <w:r>
        <w:rPr>
          <w:rFonts w:cs="Arial"/>
          <w:sz w:val="24"/>
          <w:szCs w:val="24"/>
        </w:rPr>
        <w:t xml:space="preserve">: Болорчулуун гишүүний асуултад хариулъя. Болорчулуун гишүүнд өнөөдрийн хүчинтэй мөрдөгдөж байгаа Ашигт малтмалын тухай хуулийн 5.4, 5.5 дахь заалтыг манай ажлын хэсгийн гишүүд өгсөн нь дээр байхаа. Өнөөдрийн хүчинтэй мөрдөгдөж байгаа Ашигт малтмалын тухай хуулийн 5.4-т, 51 гэсэн тоо хэзээ ч байгаагүй ээ. 50 хүртэл гэдэг тоо байгаа, яг түүгээрээ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 xml:space="preserve">Хэлэлцүүлгийн үед тодруулаад, тодотгоод үзэж болох байх. Ажлын хэсгийн гишүүдийг цаас бэлтгэж ирээрэй гэсэн байх, авсан байх. 5.5-ын тухайд мөн 34 хүртэл гэсэн ийм хувиараа байгаа. 5.5 дээр жаахан зарчмын өөрчлөлт оруулсан.  5.4 дээр ч гэсэн. Гол өөрчлөлт нь юу байна вэ гэхээр, эдийн засгийн үр дүн, ашигт ажиллагааны түвшинг харгалзаж,  төрийн эзэмших хувь хэмжээг тогтооно гэж, 5.4 дээр нь, өмнөх заалтыг арай жаахан тэгж оруулсан юм. Үүнийгээ би танд тайлбарлаа өгчихье, чухал асуудал учраас.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 xml:space="preserve">Ер нь бизнесийн салбарт байсан бид бүхэн бол мэднэ. Компани байгуулах, тэгээд хувь нийлүүлээд хувь эзэмших өөрийн хөрөнгөө бүрдүүлэх бол нэг тусдаа ойлголт,  том төсөл хэрэгжүүлэх бол нэг тусдаа ойлголт байдаг. Гэтэл өмнө нь үүнийг холиод хаячихсан,  түүнээсээ болоод  баахан өр тавиад, хүү нь тодорхой түвшинд өсөөд явж байгаа.  Хөгжилтэй орнууд нь өнөөдөр яаж байна вэ гэхээр, геологи, уул уурхайн салбарт том төсөл хэрэгжүүлэхдээ компаниа байгуулаад, 1 сая доллар ч юм уу? 10 сая ч юм уу, 100 сая долларын компани байгуулаад, тэгээд хоёр талын хөрөнгө оруулагчид тэр хувь нийлүүлэгчийнхээ хөрөнгийг оруулчихаад, дараа нь Ашигт малтмалын том ордын хайгуулын ч юм уу? Ашиглалтын тусгай зөвшөөрөлтэй болохоор тэр төслөө хийгээд, банкнаас олон улсын хөрөнгийн зах зээлээс мөнгө босгоод ингээд явдаг.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Гэтэл өмнөх хуулинд яасан бэ гэхээр, тэр төсөлд шаардагдах бүх  мөнгөө өөрснөө гаргана гээд, тэрийг төр гаргана гээд тавьчихсан, үүнд өөрөөр хэлбэл уураглагдаад ингээд явж байгаа юм. Бид бүхэн компани байгуулж үзсэн, тийм учраас компаниа байгуулаад, тодорхой өөрийн хөрөнгөтэй байгаад нөгөө талд нь баялаг байх юм бол төслөө хийгээд, энэ баялаг ийм ашигтай байна гээд зээлээ аваад ингэд явдаг, ийм зарчим руу оруулсан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5.5 дээр, улсын төсвийн оролцоогүйгээр компаниуд эрэл  хайгуул хийгээд орд илрүүлсэн тохиолдолд компани нь өөрөө хүсэлт гаргах юм бол төр хувь эзэмшиж болох юмаа гэсэн ийм санааг оруулж өгсөн. Үүнийг бид бүхэн бас төрөөс эрдэс баялгийн салбарт баримтлах бодлого дээр энэ зүйл суусан байгаа. Хамгийн гол нь төр бол энэ ашигт малтмал дээр нэг төрлийн хураамжийг илүү авдаг. Тэр нь бол нөгөө роялт буюу нөөц ашигласны төлбөр байгаа гэж ингэж хэлэх байна.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Б.Гарамгайбаатар:</w:t>
      </w:r>
      <w:r>
        <w:rPr>
          <w:rFonts w:cs="Arial"/>
          <w:sz w:val="24"/>
          <w:szCs w:val="24"/>
        </w:rPr>
        <w:t xml:space="preserve"> Хаянхярваа гишүүн асуултаа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Д.Хаянхярваа:</w:t>
      </w:r>
      <w:r>
        <w:rPr>
          <w:rFonts w:cs="Arial"/>
          <w:sz w:val="24"/>
          <w:szCs w:val="24"/>
        </w:rPr>
        <w:t xml:space="preserve">  Ганц, хоёрхон асуулт байна.  Энэ Ашигт  малтмалын тухай хуулийг санаачлах талаар Ерөнхийлөгчийн зүгээс хууль санаачилж оруулна гэсэн хүлээлт нийгэмд нэлээн байсан, сүүлийн нэг, хоёр жилд. Тэгэхээр өнөөдөр энэ хууль санаачлагдаад ороод ирж байгаа нь Ерөнхийлөгчтэй буюу Ерөнхийлөгчийн Тамгын газартай тохиролцсон уу. Одоо дахиад Ерөнхийлөгчийн зүгээс бас Ашигт малтмалын тухай хууль гээд шинээр өөр зүйл санаачилж орж ирэх тийм асуудал байх уу? Үгүй юу гэдэг нэг ийм асуулт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 xml:space="preserve">Хоёрт нь,  би ийм л юм сонирхоод байгаа юм. Стратегийн орд газар гэдэг юм чинь манай энэ Ашигт малтмалын хуульд тусгагдаад энэ чигээрээ явах уу, цаашдаа. Бид нар дээр Ерөнхийлөгчтэй Их Хурлын гишүүд уулзаж байхад би бас саналаа хэлж байсан. Энэ юу вэ гэхээр,  ер нь цаашдаа бид нар стратегийн орд газар гэж ингэж онцлоод байх юм уу? Аль эсхүл бид эрэмбээ тогтоох юм уу гэж. Өнөөдөр жишээлбэл, зэсийн орд гэхэд Эрдэнэт байна, Оюутолгой байна, өөр цаана нь ямар орд байдаг юм бэ? Тэгвэл тэдээс тэдэн оны хооронд ийм ийм ордуудыг ашиглана, тэдээс тэдэн оны хооронд ийм ордуудыг ашиглана, тэр хугацаандаа тодорхой бэлтгэлээ хангаад, олон улсын түвшинд ч байдаг юм уу? Яадаг юм. Тендерээ зарлаад ингээд яваад, үүнийгээ ашиглаад явдаг ийм горимтой байж болохгүй юу гэсэн, ингээд хоёр дахь асуулт нь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Гуравт нь бол ер нь улсын хөрөнгөөр цаашдаа хайгуул хийх юм уу? Ер нь бид нар чинь энэ ашигт малтмалтай холбогдсон асуудлаар энд тэнд явж, чуулганы завсарлагааны үеэр судалж үзсэн. Ингэхэд хайгуулын ажилд  төр өөрөө оролцоод байх биш, харин хайгуулын компаниуд  бүрэн хайгуулаа хийж дуусаад,  төрд нь буцаагаад зардлаа гаргаж өгөөд, төрдөө өгдөг, төр нь буцаагаад ашиглалтын талаар нь тодорхой түвшинд, олон улсын түвшинд ч байдаг юм уу? Хаана байдаг юм, тендер зарлаад явдаг энэ олон улсын жишигт нийцүүлж явах уу гэсэн  З дахь асуулт, ингэж болохгүй юу?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Дөрөвт нь, юу байна вэ гэхээр, ер нь энэ ашигт малтмал дээр төрийн оролцоо гэдэг юм цаашдаа байх юм уу? Түрүүн ч би асуулаа, энэ төрийн оролцоог зохистой түвшинд байлгана гэж, тэр бодлогын бичиг баримтандаа бид нар тэгээд суулгачихсан юм байна л даа. Гадны хөрөнгө оруулагчдын  бид нараас нэг дайжаад байгаа хамгийн гол юм бол би юу гэж ойлгож байгаа вэ гэхээр төр оролцоно гэсэн заалт байвал одоо энэ чинь эцэстээ төр нь ямар нэгэн аргаар энэ үйл ажиллагаанд нь садаа болдог юм байна гэсэн ойлголт авчихаад, бид нараас зугатаагаад байгаа юм биш үү, ер нь энэ ашигт малтмалын талын юманд төрийн оролцоог аль болохоор байлгахгүй байх талаас нь бодож энэ хуульд тусгагдсан зүйл бий юу гэсэн ийм хэдэн асуултад хариулт өгөөч.</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Б.Гарамгайбаатар:</w:t>
      </w:r>
      <w:r>
        <w:rPr>
          <w:rFonts w:cs="Arial"/>
          <w:sz w:val="24"/>
          <w:szCs w:val="24"/>
        </w:rPr>
        <w:t xml:space="preserve"> Ганхуяг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Д.Ганхуяг</w:t>
      </w:r>
      <w:r>
        <w:rPr>
          <w:rFonts w:cs="Arial"/>
          <w:sz w:val="24"/>
          <w:szCs w:val="24"/>
        </w:rPr>
        <w:t xml:space="preserve">: Манай ажлын хэсгийн хүмүүс бас нэмэх зүйл байвал хэлээрэй. Хаянхярваа гишүүний асуултад хариулъя. Өнгөрсөн 11-12 оны үед шиг санагдаж байна. Ерөнхийлөгчийн Тамгын газар дээр нэг ажлын хэсэг байгуулагдаад, ер нь Ашигт малтмалын хуулиа шинэчилсэн найруулга болгох уу гээд та бид нар орж хамтарч ажиллаж байсныг бид бүхэн мэдэж байгаа. Тэгээд Ерөнхийлөгчийн Тамгын газрын дэргэд төслийн нэгж байгуулагдаад, Ашигт малтмалын тухай хуулийн шинэчилсэн найруулгын төслийг бэлдсэн юм билээ. Тэгээд бэлтгээд нөгөө төслөө олон нийтээр хэлэлцүүлсэн чинь нэлээн шүүмжлэл, сөрөг дохио ийм юмтай учирсан. Тэгээд түүнийгээ больё оо, тэгээд Төрөөс эрдэс баялгийн салбарт баримтлах бодлого гаргах, бодлогыг боловсруулах Ерөнхийлөгчийн зарлиг гараад тэр бодлого Улсын Их Хуралд өргөн баригдаад өнгөрсөн чуулганаар батлагдсан. Тэгээд одоо цаашид шинэчилсэн найруулгын төсөл тийм зүйл бол байхгүй.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Энэ Ашигт малтмалын тухай хуульд өөрчлөлт оруулж байгаа өнөөдрийнхөө төслөөр явах юмаа.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Стратегийн ордын тухайд тодорхойлолт дээр нэг өөрчлөлт орж ирж байгаа, хуучин байсан тодорхойлолт дээр. Тэнд бүс нутгийн хөгжилд гээд түүнийг нь хасчихсан.Энэ нь юу гэж байна вэ гэхээр яг өнөөгийн тодорхойлолт дээр ДНБ-ний  5 хувьтай тэнцэх жилийн борлуулалттай, эсхүл борлуулах боломжтой гэдгээрээ  явж байгаа.  Жижигхэн ордуудаас төр хувь эзэмшинэ гэдэг бол хүнд. Ийм байдалтай, ер нь том ордуудаа бид нар 15 ордоо 27 дугаар тогтоолоор баталчихсан. Мөн сая Эрдэс баялгийн салбарт баримтлах бодлогыг Улсын Их Хурлаас баталж өгөхдөө стратегийн ач холбогдол бүхий ордыг 27 дугаар  тогтоолын хүрээнд авч үзэх гэсэн ийм байдлаар баталсан байгаа. Үүнд нь нийцүүлээд ингээд орж ирсэн. Тэр 5 хувь гэдгээрээ явах юмаа гэж ингэж хэлмээр байна.Ер нь ДНБ-ний 5 хувьтай тэнцэх.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 xml:space="preserve">Ер нь хоёр хандлага байна. Нэг нь бол Ашигт малтмалын төрөл, нөөцийн хэмжээнээс хамааруулж  стратегийн ач холбогдол бүхий орд, бүтээгдэхүүн гэсэн ийм байдлаар явж байна. Энэ дээр нь Үндэсний аюулгүй байдал, Батлан хамгаалах салбартай холбоотой ашигт малтмалууд, нөгөө талд нь ирээдүйд тухайн улс орны хувьд хомсдолтой болж магадгүй, ашигт малтмалын тухайд. Иймэрхүү хандлагууд байдаг юм байна. Тэгэхдээ саяны тодорхойлолтонд бас Үндэсний аюулгүй байдал эдийн засаг, нийгэмд  нөлөөлөхүйц гэсэн тийм үг байгаа. Ер нь тийм цоорхой байхад бас зүгээр юм болов уу гээд. Одоо бол бид яг тэр нөөцийн хэмжээгээр нь, төрлөөр нь тогтоохоор  бөөн бужигнаан болох, тэгээд нөгөө нөөцийн хэмжээ нь энэ нь ихэдлээ, тэр нь багадлаа, ингэлээ, тэглээ гээд баахан юм болох болов уу. Ерөнхийдөө бүдүүвчилсэн 5 хувь, өнөөдрийг хүртэл ингээд бид нар амьдрал дээр явж ирсэн энэ байдлаараа явахад болчихож байгаа байх.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Дээр нь хувийн хэвшил өөрөө ирж орсны тухайд бол өөрснөө хүсэхгүй бол байхгүй учраас бас нэлээн зохистой зүйл болох ю маа гэж ингэж хэлэх байна. Энэ хуульд улсын төсвийн хөрөнгөөр хайгуул хийх зүйл тусгагдаагүй, улсын төсвийн хөрөнгөөр геологийн хайгуул буюу  50  мянганы зураглал түүнийгээ хийгээд, хоёр төрлийн талбай байна. Нэг нь хэтийн төлөв бүхий талбай, нөгөө дэх нь байж ч магадгүй, байхгүй ч байж магадгүй гээд. Байгаа дээрээ бол эрэл үнэлгээний ажлыг хувийн хэвшлээр нэмж хийлгээд, нөгөө орд дууддаг Канад, Австралын шугамаар явуулаад, хайгуулын тусгай зөвшөөрлийг хувьд өгөөд явахаар иймэрхүү байдлаар хийчихсэн байгаа. Ер нь төрийн оролцоо, төрийн өмчийн оролцоон дээр бас ялгаж үзмээр юм шиг байна билээ. Одоо бол төрийн оролцоо гэдэг дээр зохицуулалт, бүх төрлийн зохицуулалт ороод байна. Төрийн өмчийн оролцоо гэдэг дээр төрийн өмчийн оролцоотой аж ахуйн нэгжүүдээ нээлттэй  компани болгох гэдгийг бодлогодоо тусгасан. Нээлттэй компани жишээлбэл урд хөрш бол ихэнх нь нээлттэй компани. Төр нь хувь эзэмшдэг мөртлөөсөө хувьцаат компани. 20-30 хувь нь дандаа барууны ч гэдэг юм уу? Дэлхийн том компаниуд эзэмшсэн. Шэньхуа, Чалько бүгд тийм байна. Энэ хэлбэр рүү явсан нь дээр байхаа гэж ингэж ойлгож байгаа. Олборлолт хайгуулын түвшинд,  төрийн өмчийн компани хийгээд байх нь зохисгүй юм байнаа,  мэргэжлийн компаниар хийлгэх нь зүйтэй юм байна гэж Эрдэс баялгийн салбарын бодлогод тусгасан тэр ойлголтоороо явж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Б.Гарамгайбаатар</w:t>
      </w:r>
      <w:r>
        <w:rPr>
          <w:rFonts w:cs="Arial"/>
          <w:sz w:val="24"/>
          <w:szCs w:val="24"/>
        </w:rPr>
        <w:t>: Асуулт асууж дууслаа. Үг хэлэх гишүүдийн нэрсийг авъя. Үг хэлэх гишүүд байна уу? Болорчулуун гишүүнээр тасаллаа. Болорчулуун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Х.Болорчулуун:</w:t>
      </w:r>
      <w:r>
        <w:rPr>
          <w:rFonts w:cs="Arial"/>
          <w:sz w:val="24"/>
          <w:szCs w:val="24"/>
        </w:rPr>
        <w:t xml:space="preserve"> Би энэ 5.4, 5.5-ыг 50 хүртэл хувиар тогтоож болно, 34 хүртэл хувиар тогтоож болно гэсэн байна. Болох ч юм шиг, болохгүй ч юм шиг, 20 хувь, 30 хувь, 50 хувиар алинаар нь ч тогтоомоор ч юм шиг ийм их бүдэг орхиж байгаа юм.  Тэр болно гэдэг үгээ хасаад тогтооно гээд шууд оруулчих нь зүйтэй байх гэж бодож байна.  Ийм саналтай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 xml:space="preserve">Харин энэ хуучин 2006 оны хуулийн 5.5-ын  төрөөс оруулсан хөрөнгө оруулалтын хэмжээг харгалзан гэж тэр муухай үгийг хассан нь сайн байна. Гэхдээ эдийн засгийн  үр өгөөж болон ашгийн түвшинг харгалзан гээд энэ чинь тэртэй, тэргүй ДНБ-ний 5-аас дээш хувийг эзэлж байгааг л стратегийн гэж хэлж байгаа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Д.Ганхуяг:</w:t>
      </w:r>
      <w:r>
        <w:rPr>
          <w:rFonts w:cs="Arial"/>
          <w:sz w:val="24"/>
          <w:szCs w:val="24"/>
        </w:rPr>
        <w:t xml:space="preserve"> Хэлэлцүүлгийн үед тогтоож болно гэдгийг тогтооно гэдгээр та бүхэн шийдчихээ, би бол түүнийг дэмжиж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Наадах чинь бол тухайн ордын төрийн эзэмшлийн хэмжээг тогтоохтой холбоотой зүйл.  Эдийн засгийнх гэдэг нь ТЭЗҮ-д суусан борлуулалт, өртөг, зардал, ажлын байр, шууд бус хөрөнгө бүх юмыг оруулж байгаа юм.  Ашгийн түвшин гэдэг нь  татвар төлсний дараах ашгийг яаж хэрхэн хуваах вэ гэдгээ ТЭЗҮ дээрээ ярьж байгаа шийдэх.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Б.Гарамгайбаатар:</w:t>
      </w:r>
      <w:r>
        <w:rPr>
          <w:rFonts w:cs="Arial"/>
          <w:sz w:val="24"/>
          <w:szCs w:val="24"/>
        </w:rPr>
        <w:t xml:space="preserve"> Асуулт хариулт дуусчихсан, үг хэлж байгаа шүү дээ.  Үг хэлж дууслаа.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Ашигт малтмалын тухай хуульд нэмэлт, өөрчлөлт оруулах тухай, Ашигт малтмалын тухай хуульд нэмэлт,  өөрчлөлт оруулах тухай хуулийг дагаж мөрдөх журмын тухай, Ашигт малтмалын хайгуулын тусгай зөвшөөрөл шинээр олгохыг хориглох тухай хуулийг хүчингүй болсонд тооцох тухай, Тусгай хамгаалалтын газар нутгийн тухай хуульд нэмэлт оруулах тухай хуулийн төслүүдийг чуулганы нэгдсэн хуралдаанаар хэлэлцүүлэх нь зүйтэй гэсэн томьёоллоор санал хураалт явуулъя.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Г.Баярсайхан:</w:t>
      </w:r>
      <w:r>
        <w:rPr>
          <w:rFonts w:cs="Arial"/>
          <w:sz w:val="24"/>
          <w:szCs w:val="24"/>
        </w:rPr>
        <w:t xml:space="preserve"> Болд гишүүн дэмжсэн байгаа, Арвин гишүүн дэмжсэн байгаа, ирцэнд орсон. Олонх нь дэмжсэн байна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С.Бямбацогт:</w:t>
      </w:r>
      <w:r>
        <w:rPr>
          <w:rFonts w:cs="Arial"/>
          <w:sz w:val="24"/>
          <w:szCs w:val="24"/>
        </w:rPr>
        <w:t xml:space="preserve"> Дэмжээд явна гэж байдаггүй шүү дээ, тийм хуулийн заалт  хаана байна вэ?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24-13.</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bCs/>
          <w:sz w:val="24"/>
          <w:szCs w:val="24"/>
        </w:rPr>
        <w:t>Б.Гарамгайбаатар</w:t>
      </w:r>
      <w:r>
        <w:rPr>
          <w:rFonts w:cs="Arial"/>
          <w:sz w:val="24"/>
          <w:szCs w:val="24"/>
        </w:rPr>
        <w:t>: Дэмжигдлээ.  Чуулганы нэгдсэн хуралдаанд Байнгын хорооны санал, дүгнэлтийг илтгэх гишүүнийг томилъё.  Саналтай гишүүд байна уу.  Зоригт гишүүнийг томиллоо.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sz w:val="24"/>
          <w:szCs w:val="24"/>
          <w:lang w:val="mn-MN"/>
        </w:rPr>
        <w:t>Соронзон хальснаас буулгасан: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ПРОТОКОЛЫН АЛБАНЫ</w:t>
      </w:r>
    </w:p>
    <w:p>
      <w:pPr>
        <w:pStyle w:val="style0"/>
        <w:spacing w:after="0" w:before="0" w:line="100" w:lineRule="atLeast"/>
        <w:contextualSpacing w:val="false"/>
        <w:jc w:val="both"/>
      </w:pPr>
      <w:r>
        <w:rPr>
          <w:rFonts w:cs="Arial"/>
          <w:sz w:val="24"/>
          <w:szCs w:val="24"/>
          <w:lang w:val="mn-MN"/>
        </w:rPr>
        <w:tab/>
        <w:t xml:space="preserve">ШИНЖЭЭЧ </w:t>
        <w:tab/>
        <w:tab/>
        <w:tab/>
        <w:tab/>
        <w:tab/>
        <w:tab/>
        <w:tab/>
        <w:tab/>
        <w:t xml:space="preserve">Д.ЦЭНДСҮРЭН </w:t>
      </w:r>
    </w:p>
    <w:sectPr>
      <w:type w:val="nextPage"/>
      <w:pgSz w:h="15840" w:w="12240"/>
      <w:pgMar w:bottom="1134" w:footer="0" w:gutter="0" w:header="0" w:left="2050" w:right="965"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swiss"/>
    <w:pitch w:val="default"/>
  </w:font>
  <w:font w:name="OpenSymbol">
    <w:altName w:val="Arial Unicode MS"/>
    <w:charset w:val="00"/>
    <w:family w:val="auto"/>
    <w:pitch w:val="default"/>
  </w:font>
  <w:font w:name="Arial">
    <w:charset w:val="80"/>
    <w:family w:val="swiss"/>
    <w:pitch w:val="default"/>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kinsoku w:val="true"/>
      <w:overflowPunct w:val="true"/>
      <w:autoSpaceDE w:val="true"/>
    </w:pPr>
    <w:rPr>
      <w:rFonts w:ascii="Arial" w:cs="Mangal" w:eastAsia="SimSun" w:hAnsi="Arial"/>
      <w:color w:val="auto"/>
      <w:sz w:val="24"/>
      <w:szCs w:val="24"/>
      <w:lang w:bidi="hi-IN" w:eastAsia="zh-CN" w:val="en-US"/>
    </w:rPr>
  </w:style>
  <w:style w:styleId="style15" w:type="character">
    <w:name w:val="Bullets"/>
    <w:next w:val="style15"/>
    <w:rPr>
      <w:rFonts w:ascii="OpenSymbol" w:cs="OpenSymbol" w:eastAsia="OpenSymbol" w:hAnsi="OpenSymbol"/>
    </w:rPr>
  </w:style>
  <w:style w:styleId="style16" w:type="character">
    <w:name w:val="Internet Link"/>
    <w:next w:val="style16"/>
    <w:rPr>
      <w:color w:val="000080"/>
      <w:u w:val="single"/>
      <w:lang w:bidi="en-US" w:eastAsia="en-US" w:val="en-US"/>
    </w:rPr>
  </w:style>
  <w:style w:styleId="style17" w:type="character">
    <w:name w:val="Default Paragraph Font"/>
    <w:next w:val="style17"/>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ascii="Arial" w:cs="Mangal" w:hAnsi="Arial"/>
    </w:rPr>
  </w:style>
  <w:style w:styleId="style21" w:type="paragraph">
    <w:name w:val="Caption"/>
    <w:basedOn w:val="style0"/>
    <w:next w:val="style21"/>
    <w:pPr>
      <w:suppressLineNumbers/>
      <w:spacing w:after="120" w:before="120"/>
      <w:contextualSpacing w:val="false"/>
    </w:pPr>
    <w:rPr>
      <w:rFonts w:ascii="Arial" w:cs="Mangal" w:hAnsi="Arial"/>
      <w:i/>
      <w:iCs/>
      <w:sz w:val="24"/>
      <w:szCs w:val="24"/>
    </w:rPr>
  </w:style>
  <w:style w:styleId="style22" w:type="paragraph">
    <w:name w:val="Index"/>
    <w:basedOn w:val="style0"/>
    <w:next w:val="style22"/>
    <w:pPr>
      <w:suppressLineNumbers/>
    </w:pPr>
    <w:rPr>
      <w:rFonts w:ascii="Arial" w:cs="Mangal" w:hAnsi="Arial"/>
    </w:rPr>
  </w:style>
  <w:style w:styleId="style23" w:type="paragraph">
    <w:name w:val="Footer"/>
    <w:basedOn w:val="style0"/>
    <w:next w:val="style23"/>
    <w:pPr>
      <w:suppressLineNumbers/>
      <w:tabs>
        <w:tab w:leader="none" w:pos="4986" w:val="center"/>
        <w:tab w:leader="none" w:pos="9972" w:val="right"/>
      </w:tabs>
    </w:pPr>
    <w:rPr/>
  </w:style>
  <w:style w:styleId="style24" w:type="paragraph">
    <w:name w:val="List Paragraph"/>
    <w:basedOn w:val="style0"/>
    <w:next w:val="style24"/>
    <w:pPr>
      <w:spacing w:after="0" w:before="0"/>
      <w:ind w:hanging="0" w:left="720" w:right="0"/>
      <w:contextualSpacing w:val="false"/>
    </w:pPr>
    <w:rPr/>
  </w:style>
  <w:style w:styleId="style25" w:type="paragraph">
    <w:name w:val="Subtitle"/>
    <w:basedOn w:val="style18"/>
    <w:next w:val="style25"/>
    <w:pPr>
      <w:jc w:val="center"/>
    </w:pPr>
    <w:rPr>
      <w:i/>
      <w:iCs/>
      <w:sz w:val="28"/>
      <w:szCs w:val="28"/>
    </w:rPr>
  </w:style>
  <w:style w:styleId="style26" w:type="paragraph">
    <w:name w:val="Title"/>
    <w:basedOn w:val="style0"/>
    <w:next w:val="style26"/>
    <w:pPr>
      <w:jc w:val="center"/>
    </w:pPr>
    <w:rPr>
      <w:b/>
      <w:bCs/>
      <w:sz w:val="36"/>
      <w:szCs w:val="36"/>
    </w:rPr>
  </w:style>
  <w:style w:styleId="style27" w:type="paragraph">
    <w:name w:val="Body Text Indent 3"/>
    <w:basedOn w:val="style0"/>
    <w:next w:val="style27"/>
    <w:pPr>
      <w:spacing w:after="28" w:before="28"/>
      <w:ind w:firstLine="748" w:left="0" w:right="0"/>
      <w:contextualSpacing w:val="false"/>
      <w:jc w:val="both"/>
    </w:pPr>
    <w:rPr/>
  </w:style>
  <w:style w:styleId="style28" w:type="paragraph">
    <w:name w:val="Text Body Indent"/>
    <w:basedOn w:val="style0"/>
    <w:next w:val="style28"/>
    <w:pPr>
      <w:spacing w:after="28" w:before="28"/>
      <w:ind w:firstLine="748" w:left="283" w:right="0"/>
      <w:contextualSpacing w:val="false"/>
      <w:jc w:val="both"/>
    </w:pPr>
    <w:rPr>
      <w:b/>
      <w:bCs/>
      <w:i/>
      <w:i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2014-06-16T09:57:19.47Z</dcterms:created>
  <cp:lastPrinted>2014-06-16T10:05:37.96Z</cp:lastPrinted>
  <cp:revision>0</cp:revision>
</cp:coreProperties>
</file>