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3612D9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565E3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122B2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565E3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E0D9B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3612D9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BA363C" w:rsidRDefault="00BA363C" w:rsidP="00BA363C">
      <w:pPr>
        <w:tabs>
          <w:tab w:val="left" w:pos="2265"/>
        </w:tabs>
        <w:jc w:val="center"/>
        <w:rPr>
          <w:rFonts w:ascii="Arial" w:eastAsiaTheme="majorEastAsia" w:hAnsi="Arial" w:cs="Arial"/>
          <w:b/>
          <w:bCs/>
          <w:lang w:val="mn-MN"/>
        </w:rPr>
      </w:pPr>
      <w:r>
        <w:rPr>
          <w:rFonts w:ascii="Arial" w:eastAsia="Arial Unicode MS" w:hAnsi="Arial" w:cs="Arial"/>
          <w:b/>
          <w:lang w:val="mn-MN"/>
        </w:rPr>
        <w:t>Т</w:t>
      </w:r>
      <w:r>
        <w:rPr>
          <w:rFonts w:ascii="Arial" w:eastAsiaTheme="majorEastAsia" w:hAnsi="Arial" w:cs="Arial"/>
          <w:b/>
          <w:bCs/>
          <w:lang w:val="mn-MN"/>
        </w:rPr>
        <w:t>огтоолын хавсралтад нэмэлт,</w:t>
      </w:r>
    </w:p>
    <w:p w:rsidR="00BA363C" w:rsidRDefault="00BA363C" w:rsidP="00BA363C">
      <w:pPr>
        <w:keepNext/>
        <w:keepLines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  <w:r>
        <w:rPr>
          <w:rFonts w:ascii="Arial" w:eastAsiaTheme="majorEastAsia" w:hAnsi="Arial" w:cs="Arial"/>
          <w:b/>
          <w:bCs/>
          <w:lang w:val="mn-MN"/>
        </w:rPr>
        <w:t>өөрчлөлт оруулах тухай</w:t>
      </w:r>
    </w:p>
    <w:p w:rsidR="00BA363C" w:rsidRDefault="00BA363C" w:rsidP="00BA363C">
      <w:pPr>
        <w:tabs>
          <w:tab w:val="left" w:pos="7080"/>
        </w:tabs>
        <w:spacing w:line="360" w:lineRule="auto"/>
        <w:rPr>
          <w:rFonts w:ascii="Arial" w:eastAsiaTheme="minorHAnsi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:rsidR="00BA363C" w:rsidRDefault="00BA363C" w:rsidP="00BA363C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>Монгол Улсын Засгийн газрын тухай хуулийн 12 дугаар зүйлийн 1 дэх хэсгийг үндэслэн Монгол Улсын Их Хурлаас ТОГТООХ нь:</w:t>
      </w:r>
    </w:p>
    <w:p w:rsidR="00BA363C" w:rsidRDefault="00BA363C" w:rsidP="00BA363C">
      <w:pPr>
        <w:ind w:firstLine="720"/>
        <w:jc w:val="center"/>
        <w:rPr>
          <w:rFonts w:ascii="Arial" w:hAnsi="Arial" w:cs="Arial"/>
          <w:noProof/>
          <w:lang w:val="mn-MN"/>
        </w:rPr>
      </w:pPr>
    </w:p>
    <w:p w:rsidR="00BA363C" w:rsidRDefault="00BA363C" w:rsidP="00BA363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noProof/>
          <w:lang w:val="mn-MN"/>
        </w:rPr>
        <w:t>1.“Төрийн захиргааны байгууллагын тогтолцоо, бүтцийн ерөнхий бүдүүвчийг шинэчлэн батлах тухай</w:t>
      </w:r>
      <w:r>
        <w:rPr>
          <w:rFonts w:ascii="Arial" w:hAnsi="Arial" w:cs="Arial"/>
          <w:lang w:val="mn-MN"/>
        </w:rPr>
        <w:t xml:space="preserve">”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Эрүүл мэндийн сайдын эрхлэх асуудлын хүрээний “Засгийн газрын хэрэгжүүлэгч агентлаг” хэсэгт “18.Эрүүл мэндийн даатгалын ерөнхий газар” гэж нэмсүгэй. </w:t>
      </w:r>
    </w:p>
    <w:p w:rsidR="00BA363C" w:rsidRDefault="00BA363C" w:rsidP="00BA363C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363C" w:rsidRDefault="00BA363C" w:rsidP="00BA363C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2.Мөн хавсралтын Хөдөлмөр, нийгмийн хамгааллын сайдын эрхлэх асуудлын хүрээний “Засгийн газрын хэрэгжүүлэгч агентлаг” хэсгийн “9.Эрүүл мэнд, нийгмийн даатгалын ерөнхий газар” гэснийг “9.Нийгмийн даатгалын ерөнхий газар” гэж өөрчилсүгэй. </w:t>
      </w:r>
    </w:p>
    <w:p w:rsidR="00BA363C" w:rsidRDefault="00BA363C" w:rsidP="00BA363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A363C" w:rsidRDefault="00BA363C" w:rsidP="00BA363C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3.Энэ тогтоолыг 2018 оны 01 дүгээр сарын 01-ний өдрөөс эхлэн дагаж мөрдсүгэй.</w:t>
      </w:r>
    </w:p>
    <w:p w:rsidR="00BA363C" w:rsidRDefault="00BA363C" w:rsidP="00BA363C">
      <w:pPr>
        <w:tabs>
          <w:tab w:val="left" w:pos="709"/>
        </w:tabs>
        <w:jc w:val="both"/>
        <w:rPr>
          <w:rFonts w:ascii="Arial" w:hAnsi="Arial" w:cs="Arial"/>
          <w:lang w:val="mn-MN"/>
        </w:rPr>
      </w:pPr>
    </w:p>
    <w:p w:rsidR="00BA363C" w:rsidRDefault="00BA363C" w:rsidP="00BA363C">
      <w:pPr>
        <w:tabs>
          <w:tab w:val="left" w:pos="709"/>
        </w:tabs>
        <w:jc w:val="both"/>
        <w:rPr>
          <w:rFonts w:ascii="Arial" w:hAnsi="Arial" w:cs="Arial"/>
          <w:lang w:val="mn-MN"/>
        </w:rPr>
      </w:pPr>
    </w:p>
    <w:p w:rsidR="00BA363C" w:rsidRDefault="00BA363C" w:rsidP="00BA363C">
      <w:pPr>
        <w:tabs>
          <w:tab w:val="left" w:pos="709"/>
        </w:tabs>
        <w:jc w:val="both"/>
        <w:rPr>
          <w:rFonts w:ascii="Arial" w:hAnsi="Arial" w:cs="Arial"/>
          <w:lang w:val="mn-MN"/>
        </w:rPr>
      </w:pPr>
    </w:p>
    <w:p w:rsidR="00BA363C" w:rsidRDefault="00BA363C" w:rsidP="00BA363C">
      <w:pPr>
        <w:tabs>
          <w:tab w:val="left" w:pos="709"/>
        </w:tabs>
        <w:jc w:val="both"/>
        <w:rPr>
          <w:rFonts w:ascii="Arial" w:hAnsi="Arial" w:cs="Arial"/>
          <w:lang w:val="mn-MN"/>
        </w:rPr>
      </w:pPr>
    </w:p>
    <w:p w:rsidR="00BA363C" w:rsidRDefault="00BA363C" w:rsidP="00BA363C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BA363C" w:rsidRDefault="00BA363C" w:rsidP="00BA363C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М.ЭНХБОЛД </w:t>
      </w:r>
    </w:p>
    <w:p w:rsidR="00AC2DD2" w:rsidRPr="00DE74A6" w:rsidRDefault="00AC2DD2" w:rsidP="00BA363C">
      <w:pPr>
        <w:pStyle w:val="NormalWeb"/>
        <w:contextualSpacing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B4" w:rsidRDefault="006503B4">
      <w:r>
        <w:separator/>
      </w:r>
    </w:p>
  </w:endnote>
  <w:endnote w:type="continuationSeparator" w:id="0">
    <w:p w:rsidR="006503B4" w:rsidRDefault="0065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B4" w:rsidRDefault="006503B4">
      <w:r>
        <w:separator/>
      </w:r>
    </w:p>
  </w:footnote>
  <w:footnote w:type="continuationSeparator" w:id="0">
    <w:p w:rsidR="006503B4" w:rsidRDefault="0065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22B2"/>
    <w:rsid w:val="00314AC5"/>
    <w:rsid w:val="003256C5"/>
    <w:rsid w:val="00326450"/>
    <w:rsid w:val="00336E49"/>
    <w:rsid w:val="003565E3"/>
    <w:rsid w:val="003612D9"/>
    <w:rsid w:val="00382DEB"/>
    <w:rsid w:val="003E62F2"/>
    <w:rsid w:val="0041229B"/>
    <w:rsid w:val="00422D94"/>
    <w:rsid w:val="00443318"/>
    <w:rsid w:val="0045517D"/>
    <w:rsid w:val="004B7F89"/>
    <w:rsid w:val="004F0E6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503B4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A363C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CE0D9B"/>
    <w:rsid w:val="00CE66D9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6D9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6D9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CE66D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aliases w:val="Subtitle,IBL List Paragraph,Bullets,List Paragraph1,Дэд гарчиг,Paragraph,List Paragraph Num,Colorful List - Accent 11,Subtitle1,Subtitle11,Subtitle111,Subtitle1111,Subtitle11111,Subtitle2,List Paragraph (numbered (a)),References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aliases w:val="Subtitle Char,IBL List Paragraph Char,Bullets Char,List Paragraph1 Char,Дэд гарчиг Char,Paragraph Char,List Paragraph Num Char,Colorful List - Accent 11 Char,Subtitle1 Char,Subtitle11 Char,Subtitle111 Char,Subtitle1111 Char"/>
    <w:basedOn w:val="DefaultParagraphFont"/>
    <w:link w:val="ListParagraph"/>
    <w:uiPriority w:val="34"/>
    <w:qFormat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9B64-B2B0-4410-8D40-9183400F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5</cp:revision>
  <dcterms:created xsi:type="dcterms:W3CDTF">2017-12-06T01:06:00Z</dcterms:created>
  <dcterms:modified xsi:type="dcterms:W3CDTF">2017-12-06T02:09:00Z</dcterms:modified>
</cp:coreProperties>
</file>