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49CF7" w14:textId="77777777" w:rsidR="00352722" w:rsidRPr="002C68A3" w:rsidRDefault="00352722" w:rsidP="00352722">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401A0DF6" wp14:editId="42966784">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F769CAD" w14:textId="77777777" w:rsidR="00352722" w:rsidRPr="00661028" w:rsidRDefault="00352722" w:rsidP="00352722">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146576E3" w14:textId="77777777" w:rsidR="00352722" w:rsidRPr="002C68A3" w:rsidRDefault="00352722" w:rsidP="00352722">
      <w:pPr>
        <w:jc w:val="both"/>
        <w:rPr>
          <w:rFonts w:ascii="Arial" w:hAnsi="Arial" w:cs="Arial"/>
          <w:color w:val="3366FF"/>
          <w:lang w:val="ms-MY"/>
        </w:rPr>
      </w:pPr>
    </w:p>
    <w:p w14:paraId="138E945F" w14:textId="77777777" w:rsidR="00352722" w:rsidRPr="002C68A3" w:rsidRDefault="00352722" w:rsidP="00352722">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10</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18</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5FDEB2F0" w14:textId="77777777" w:rsidR="00DE0B5B" w:rsidRPr="001C6B4D" w:rsidRDefault="00DE0B5B" w:rsidP="00985A81">
      <w:pPr>
        <w:ind w:firstLine="720"/>
        <w:jc w:val="right"/>
        <w:rPr>
          <w:rFonts w:ascii="Arial" w:hAnsi="Arial" w:cs="Arial"/>
          <w:sz w:val="24"/>
          <w:szCs w:val="24"/>
          <w:lang w:val="mn-MN"/>
        </w:rPr>
      </w:pPr>
      <w:r w:rsidRPr="001C6B4D">
        <w:rPr>
          <w:rFonts w:ascii="Arial" w:hAnsi="Arial" w:cs="Arial"/>
          <w:b/>
          <w:sz w:val="24"/>
          <w:szCs w:val="24"/>
          <w:lang w:val="mn-MN"/>
        </w:rPr>
        <w:tab/>
      </w:r>
      <w:r w:rsidRPr="001C6B4D">
        <w:rPr>
          <w:rFonts w:ascii="Arial" w:hAnsi="Arial" w:cs="Arial"/>
          <w:b/>
          <w:sz w:val="24"/>
          <w:szCs w:val="24"/>
          <w:lang w:val="mn-MN"/>
        </w:rPr>
        <w:tab/>
      </w:r>
    </w:p>
    <w:p w14:paraId="7D838464" w14:textId="77777777" w:rsidR="00DE0B5B" w:rsidRPr="001C6B4D" w:rsidRDefault="00DE0B5B" w:rsidP="00DE0B5B">
      <w:pPr>
        <w:ind w:firstLine="720"/>
        <w:jc w:val="center"/>
        <w:rPr>
          <w:rFonts w:ascii="Arial" w:hAnsi="Arial" w:cs="Arial"/>
          <w:b/>
          <w:sz w:val="24"/>
          <w:szCs w:val="24"/>
          <w:lang w:val="mn-MN"/>
        </w:rPr>
      </w:pPr>
    </w:p>
    <w:p w14:paraId="397ADD0D" w14:textId="77777777" w:rsidR="00DE0B5B" w:rsidRPr="001C6B4D" w:rsidRDefault="00DE0B5B" w:rsidP="006439DD">
      <w:pPr>
        <w:ind w:firstLine="142"/>
        <w:jc w:val="center"/>
        <w:rPr>
          <w:rFonts w:ascii="Arial" w:hAnsi="Arial" w:cs="Arial"/>
          <w:b/>
          <w:sz w:val="24"/>
          <w:szCs w:val="24"/>
          <w:lang w:val="mn-MN"/>
        </w:rPr>
      </w:pPr>
      <w:r w:rsidRPr="001C6B4D">
        <w:rPr>
          <w:rFonts w:ascii="Arial" w:hAnsi="Arial" w:cs="Arial"/>
          <w:b/>
          <w:sz w:val="24"/>
          <w:szCs w:val="24"/>
          <w:lang w:val="mn-MN"/>
        </w:rPr>
        <w:t xml:space="preserve">ӨМГӨӨЛЛИЙН ТУХАЙ ХУУЛИЙГ ДАГАЖ </w:t>
      </w:r>
    </w:p>
    <w:p w14:paraId="397F04C7" w14:textId="77777777" w:rsidR="00DE0B5B" w:rsidRPr="001C6B4D" w:rsidRDefault="00DE0B5B" w:rsidP="006439DD">
      <w:pPr>
        <w:ind w:firstLine="142"/>
        <w:jc w:val="center"/>
        <w:rPr>
          <w:rFonts w:ascii="Arial" w:hAnsi="Arial" w:cs="Arial"/>
          <w:b/>
          <w:sz w:val="24"/>
          <w:szCs w:val="24"/>
          <w:lang w:val="mn-MN"/>
        </w:rPr>
      </w:pPr>
      <w:r w:rsidRPr="001C6B4D">
        <w:rPr>
          <w:rFonts w:ascii="Arial" w:hAnsi="Arial" w:cs="Arial"/>
          <w:b/>
          <w:sz w:val="24"/>
          <w:szCs w:val="24"/>
          <w:lang w:val="mn-MN"/>
        </w:rPr>
        <w:t>МӨРДӨХ ЖУРМЫН ТУХАЙ</w:t>
      </w:r>
    </w:p>
    <w:p w14:paraId="58E723F4" w14:textId="77777777" w:rsidR="00DE0B5B" w:rsidRPr="001C6B4D" w:rsidRDefault="00DE0B5B" w:rsidP="00985A81">
      <w:pPr>
        <w:spacing w:line="360" w:lineRule="auto"/>
        <w:ind w:firstLine="720"/>
        <w:jc w:val="both"/>
        <w:rPr>
          <w:rFonts w:ascii="Arial" w:hAnsi="Arial" w:cs="Arial"/>
          <w:sz w:val="24"/>
          <w:szCs w:val="24"/>
          <w:lang w:val="mn-MN"/>
        </w:rPr>
      </w:pPr>
    </w:p>
    <w:p w14:paraId="365B236E" w14:textId="77777777" w:rsidR="00DE0B5B" w:rsidRPr="001C6B4D" w:rsidRDefault="00DE0B5B" w:rsidP="00DE0B5B">
      <w:pPr>
        <w:ind w:firstLine="720"/>
        <w:jc w:val="both"/>
        <w:rPr>
          <w:rFonts w:ascii="Arial" w:hAnsi="Arial" w:cs="Arial"/>
          <w:sz w:val="24"/>
          <w:szCs w:val="24"/>
          <w:lang w:val="mn-MN"/>
        </w:rPr>
      </w:pPr>
      <w:r w:rsidRPr="001C6B4D">
        <w:rPr>
          <w:rFonts w:ascii="Arial" w:hAnsi="Arial" w:cs="Arial"/>
          <w:b/>
          <w:sz w:val="24"/>
          <w:szCs w:val="24"/>
          <w:lang w:val="mn-MN"/>
        </w:rPr>
        <w:t>1 дүгээр зүйл.</w:t>
      </w:r>
      <w:r w:rsidRPr="001C6B4D">
        <w:rPr>
          <w:rFonts w:ascii="Arial" w:hAnsi="Arial" w:cs="Arial"/>
          <w:sz w:val="24"/>
          <w:szCs w:val="24"/>
          <w:lang w:val="mn-MN"/>
        </w:rPr>
        <w:t>Өмгөөллийн тухай хууль хүчин төгөлдөр болохоос өмнө 2012 оны 03 дугаар сарын 07-ны өдөр баталсан Хуульчийн эрх зүйн байдлын тухай хуулийн</w:t>
      </w:r>
      <w:r w:rsidRPr="001C6B4D">
        <w:rPr>
          <w:rStyle w:val="FootnoteReference"/>
          <w:rFonts w:ascii="Arial" w:hAnsi="Arial" w:cs="Arial"/>
          <w:sz w:val="24"/>
          <w:szCs w:val="24"/>
          <w:lang w:val="mn-MN"/>
        </w:rPr>
        <w:footnoteReference w:id="1"/>
      </w:r>
      <w:r w:rsidRPr="001C6B4D">
        <w:rPr>
          <w:rFonts w:ascii="Arial" w:hAnsi="Arial" w:cs="Arial"/>
          <w:sz w:val="24"/>
          <w:szCs w:val="24"/>
          <w:lang w:val="mn-MN"/>
        </w:rPr>
        <w:t xml:space="preserve"> 30 дугаар зүйлд заасны дагуу шүүхэд төлөөлөх эрхээ нээлгэсэн хуульчдын бүртгэлийг Улсын дээд шүүх Өмгөөлөгчдийн Холбоонд шилжүүлнэ. </w:t>
      </w:r>
    </w:p>
    <w:p w14:paraId="616AF9FE" w14:textId="77777777" w:rsidR="00DE0B5B" w:rsidRPr="001C6B4D" w:rsidRDefault="00DE0B5B" w:rsidP="00DE0B5B">
      <w:pPr>
        <w:ind w:firstLine="720"/>
        <w:jc w:val="both"/>
        <w:rPr>
          <w:rFonts w:ascii="Arial" w:hAnsi="Arial" w:cs="Arial"/>
          <w:sz w:val="24"/>
          <w:szCs w:val="24"/>
          <w:lang w:val="mn-MN"/>
        </w:rPr>
      </w:pPr>
    </w:p>
    <w:p w14:paraId="6005669B" w14:textId="77777777" w:rsidR="00DE0B5B" w:rsidRPr="001C6B4D" w:rsidRDefault="00DE0B5B" w:rsidP="00DE0B5B">
      <w:pPr>
        <w:ind w:firstLine="720"/>
        <w:jc w:val="both"/>
        <w:rPr>
          <w:rFonts w:ascii="Arial" w:hAnsi="Arial" w:cs="Arial"/>
          <w:sz w:val="24"/>
          <w:szCs w:val="24"/>
          <w:lang w:val="mn-MN"/>
        </w:rPr>
      </w:pPr>
      <w:r w:rsidRPr="001C6B4D">
        <w:rPr>
          <w:rFonts w:ascii="Arial" w:hAnsi="Arial" w:cs="Arial"/>
          <w:b/>
          <w:sz w:val="24"/>
          <w:szCs w:val="24"/>
          <w:lang w:val="mn-MN"/>
        </w:rPr>
        <w:t>2 дугаар зүйл.</w:t>
      </w:r>
      <w:r w:rsidRPr="001C6B4D">
        <w:rPr>
          <w:rFonts w:ascii="Arial" w:hAnsi="Arial" w:cs="Arial"/>
          <w:sz w:val="24"/>
          <w:szCs w:val="24"/>
          <w:lang w:val="mn-MN"/>
        </w:rPr>
        <w:t>Өмгөөлөгчдийн Холбооны Их Хурлыг Өмгөөллийн тухай хууль хүчин төгөлдөр болсон өдрөөс хойш 90 хоногийн дотор хуралдуулах бөгөөд хууль зүйн асуудал эрхэлсэн төрийн захиргааны төв байгууллага хариуцан зохион байгуулна.</w:t>
      </w:r>
    </w:p>
    <w:p w14:paraId="4A3E2046" w14:textId="77777777" w:rsidR="00DE0B5B" w:rsidRPr="001C6B4D" w:rsidRDefault="00DE0B5B" w:rsidP="00DE0B5B">
      <w:pPr>
        <w:ind w:firstLine="720"/>
        <w:jc w:val="both"/>
        <w:rPr>
          <w:rFonts w:ascii="Arial" w:hAnsi="Arial" w:cs="Arial"/>
          <w:sz w:val="24"/>
          <w:szCs w:val="24"/>
          <w:lang w:val="mn-MN"/>
        </w:rPr>
      </w:pPr>
    </w:p>
    <w:p w14:paraId="4C6900B6" w14:textId="77777777" w:rsidR="00DE0B5B" w:rsidRPr="001C6B4D" w:rsidRDefault="00DE0B5B" w:rsidP="00DE0B5B">
      <w:pPr>
        <w:ind w:firstLine="720"/>
        <w:jc w:val="both"/>
        <w:rPr>
          <w:rFonts w:ascii="Arial" w:hAnsi="Arial" w:cs="Arial"/>
          <w:b/>
          <w:dstrike/>
          <w:sz w:val="24"/>
          <w:szCs w:val="24"/>
          <w:lang w:val="mn-MN"/>
        </w:rPr>
      </w:pPr>
      <w:r w:rsidRPr="001C6B4D">
        <w:rPr>
          <w:rFonts w:ascii="Arial" w:hAnsi="Arial" w:cs="Arial"/>
          <w:b/>
          <w:sz w:val="24"/>
          <w:szCs w:val="24"/>
          <w:lang w:val="mn-MN"/>
        </w:rPr>
        <w:t>3 дугаар зүйл.</w:t>
      </w:r>
      <w:r w:rsidRPr="001C6B4D">
        <w:rPr>
          <w:rFonts w:ascii="Arial" w:hAnsi="Arial" w:cs="Arial"/>
          <w:sz w:val="24"/>
          <w:szCs w:val="24"/>
          <w:lang w:val="mn-MN"/>
        </w:rPr>
        <w:t>Өмгөөлөгчдийн Холбооны Их Хурал 300, түүнээс багагүй өмгөөлөгчийн төлөөлөлтэй байна. Төлөөлөгчдийг энэ хуулийн 1 дүгээр зүйлд заасан хуульчдаас сонгон оролцуулах бөгөөд сонгох журмыг хууль зүйн асуудал эрхэлсэн Засгийн газрын гишүүн батална.</w:t>
      </w:r>
    </w:p>
    <w:p w14:paraId="734D1371" w14:textId="77777777" w:rsidR="00DE0B5B" w:rsidRPr="001C6B4D" w:rsidRDefault="00DE0B5B" w:rsidP="00DE0B5B">
      <w:pPr>
        <w:ind w:firstLine="720"/>
        <w:jc w:val="both"/>
        <w:rPr>
          <w:rFonts w:ascii="Arial" w:hAnsi="Arial" w:cs="Arial"/>
          <w:sz w:val="24"/>
          <w:szCs w:val="24"/>
          <w:lang w:val="mn-MN"/>
        </w:rPr>
      </w:pPr>
    </w:p>
    <w:p w14:paraId="6EEFC145" w14:textId="77777777" w:rsidR="00DE0B5B" w:rsidRPr="001C6B4D" w:rsidRDefault="00DE0B5B" w:rsidP="00DE0B5B">
      <w:pPr>
        <w:ind w:firstLine="720"/>
        <w:jc w:val="both"/>
        <w:rPr>
          <w:rFonts w:ascii="Arial" w:hAnsi="Arial" w:cs="Arial"/>
          <w:sz w:val="24"/>
          <w:szCs w:val="24"/>
          <w:lang w:val="mn-MN"/>
        </w:rPr>
      </w:pPr>
      <w:r w:rsidRPr="001C6B4D">
        <w:rPr>
          <w:rFonts w:ascii="Arial" w:hAnsi="Arial" w:cs="Arial"/>
          <w:b/>
          <w:sz w:val="24"/>
          <w:szCs w:val="24"/>
          <w:lang w:val="mn-MN"/>
        </w:rPr>
        <w:t>4 дүгээр зүйл.</w:t>
      </w:r>
      <w:r w:rsidRPr="001C6B4D">
        <w:rPr>
          <w:rFonts w:ascii="Arial" w:hAnsi="Arial" w:cs="Arial"/>
          <w:sz w:val="24"/>
          <w:szCs w:val="24"/>
          <w:lang w:val="mn-MN"/>
        </w:rPr>
        <w:t>Монголын Өмгөөлөгчдийн Холбоо төрийн бус байгууллагын хөрөнгийг Өмгөөллийн тухай хуулийн дагуу байгуулагдсан Өмгөөлөгчдийн холбоонд шилжүүлэх ажлыг хууль зүйн асуудал эрхэлсэн төрийн захиргааны төв байгууллага зохион байгуулна.</w:t>
      </w:r>
    </w:p>
    <w:p w14:paraId="7ED67191" w14:textId="77777777" w:rsidR="00DE0B5B" w:rsidRPr="001C6B4D" w:rsidRDefault="00DE0B5B" w:rsidP="00DE0B5B">
      <w:pPr>
        <w:ind w:firstLine="720"/>
        <w:jc w:val="both"/>
        <w:rPr>
          <w:rFonts w:ascii="Arial" w:hAnsi="Arial" w:cs="Arial"/>
          <w:b/>
          <w:dstrike/>
          <w:sz w:val="24"/>
          <w:szCs w:val="24"/>
          <w:lang w:val="mn-MN"/>
        </w:rPr>
      </w:pPr>
    </w:p>
    <w:p w14:paraId="03CFD179" w14:textId="77777777" w:rsidR="00DE0B5B" w:rsidRPr="001C6B4D" w:rsidRDefault="00DE0B5B" w:rsidP="00DE0B5B">
      <w:pPr>
        <w:ind w:firstLine="720"/>
        <w:jc w:val="both"/>
        <w:rPr>
          <w:rFonts w:ascii="Arial" w:hAnsi="Arial" w:cs="Arial"/>
          <w:sz w:val="24"/>
          <w:szCs w:val="24"/>
          <w:lang w:val="mn-MN"/>
        </w:rPr>
      </w:pPr>
      <w:r w:rsidRPr="001C6B4D">
        <w:rPr>
          <w:rFonts w:ascii="Arial" w:hAnsi="Arial" w:cs="Arial"/>
          <w:b/>
          <w:sz w:val="24"/>
          <w:szCs w:val="24"/>
          <w:lang w:val="mn-MN"/>
        </w:rPr>
        <w:t>5 дугаар зүйл.</w:t>
      </w:r>
      <w:r w:rsidRPr="001C6B4D">
        <w:rPr>
          <w:rFonts w:ascii="Arial" w:hAnsi="Arial" w:cs="Arial"/>
          <w:sz w:val="24"/>
          <w:szCs w:val="24"/>
          <w:lang w:val="mn-MN"/>
        </w:rPr>
        <w:t>Өмгөөллийн тухай хууль баталсантай холбогдуулан Монгол Улсын Засгийн газар Хуульчийн эрх зүйн байдлын тухай хуулийг боловсронгуй болгох, Монголын Хуульчдын холбоо болон Өмгөөлөгчдийн Холбооны үйл ажиллагааг уялдуулах, чиг үүргийг оновчтой хуваарилах, өмгөөлөгч давхар гишүүнчлэлийн татвар, хураамж төлдөггүй байхаар холбогдох хуулийн төслийг боловсруулж, Монгол Улсын Их Хуралд 2020 оны 02 дугаар сарын 01-ний өдрийн дотор өргөн мэдүүлнэ.</w:t>
      </w:r>
    </w:p>
    <w:p w14:paraId="56A3C3EE" w14:textId="77777777" w:rsidR="00DE0B5B" w:rsidRPr="001C6B4D" w:rsidRDefault="00DE0B5B" w:rsidP="00DE0B5B">
      <w:pPr>
        <w:jc w:val="both"/>
        <w:rPr>
          <w:rFonts w:ascii="Arial" w:hAnsi="Arial" w:cs="Arial"/>
          <w:b/>
          <w:sz w:val="24"/>
          <w:szCs w:val="24"/>
          <w:lang w:val="mn-MN"/>
        </w:rPr>
      </w:pPr>
      <w:r w:rsidRPr="001C6B4D">
        <w:rPr>
          <w:rFonts w:ascii="Arial" w:eastAsia="Times New Roman" w:hAnsi="Arial" w:cs="Arial"/>
          <w:color w:val="000000"/>
          <w:sz w:val="24"/>
          <w:szCs w:val="24"/>
          <w:shd w:val="clear" w:color="auto" w:fill="FFFFFF"/>
          <w:lang w:val="mn-MN"/>
        </w:rPr>
        <w:tab/>
      </w:r>
    </w:p>
    <w:p w14:paraId="63A06B68" w14:textId="77777777" w:rsidR="00DE0B5B" w:rsidRPr="001C6B4D" w:rsidRDefault="00DE0B5B" w:rsidP="00DE0B5B">
      <w:pPr>
        <w:ind w:firstLine="720"/>
        <w:jc w:val="both"/>
        <w:rPr>
          <w:rFonts w:ascii="Arial" w:hAnsi="Arial" w:cs="Arial"/>
          <w:sz w:val="24"/>
          <w:szCs w:val="24"/>
          <w:lang w:val="mn-MN"/>
        </w:rPr>
      </w:pPr>
      <w:r w:rsidRPr="001C6B4D">
        <w:rPr>
          <w:rFonts w:ascii="Arial" w:hAnsi="Arial" w:cs="Arial"/>
          <w:b/>
          <w:sz w:val="24"/>
          <w:szCs w:val="24"/>
          <w:lang w:val="mn-MN"/>
        </w:rPr>
        <w:t>6 дугаар зүйл.</w:t>
      </w:r>
      <w:r w:rsidRPr="001C6B4D">
        <w:rPr>
          <w:rFonts w:ascii="Arial" w:hAnsi="Arial" w:cs="Arial"/>
          <w:sz w:val="24"/>
          <w:szCs w:val="24"/>
          <w:lang w:val="mn-MN"/>
        </w:rPr>
        <w:t xml:space="preserve">Энэ хуулийг Өмгөөллийн тухай хууль хүчин төгөлдөр болсон өдрөөс эхлэн дагаж мөрдөнө. </w:t>
      </w:r>
    </w:p>
    <w:p w14:paraId="1C456ED8" w14:textId="77777777" w:rsidR="00985A81" w:rsidRPr="001C6B4D" w:rsidRDefault="00985A81" w:rsidP="00DE0B5B">
      <w:pPr>
        <w:rPr>
          <w:rFonts w:ascii="Arial" w:hAnsi="Arial" w:cs="Arial"/>
          <w:sz w:val="24"/>
          <w:szCs w:val="24"/>
          <w:lang w:val="mn-MN"/>
        </w:rPr>
      </w:pPr>
    </w:p>
    <w:p w14:paraId="2EBA03D3" w14:textId="77777777" w:rsidR="006439DD" w:rsidRPr="001C6B4D" w:rsidRDefault="006439DD" w:rsidP="00DE0B5B">
      <w:pPr>
        <w:rPr>
          <w:rFonts w:ascii="Arial" w:hAnsi="Arial" w:cs="Arial"/>
          <w:sz w:val="24"/>
          <w:szCs w:val="24"/>
          <w:lang w:val="mn-MN"/>
        </w:rPr>
      </w:pPr>
    </w:p>
    <w:p w14:paraId="313187B3" w14:textId="77777777" w:rsidR="00985A81" w:rsidRPr="001C6B4D" w:rsidRDefault="00985A81" w:rsidP="00DE0B5B">
      <w:pPr>
        <w:rPr>
          <w:rFonts w:ascii="Arial" w:hAnsi="Arial" w:cs="Arial"/>
          <w:sz w:val="24"/>
          <w:szCs w:val="24"/>
          <w:lang w:val="mn-MN"/>
        </w:rPr>
      </w:pPr>
      <w:r w:rsidRPr="001C6B4D">
        <w:rPr>
          <w:rFonts w:ascii="Arial" w:hAnsi="Arial" w:cs="Arial"/>
          <w:sz w:val="24"/>
          <w:szCs w:val="24"/>
          <w:lang w:val="mn-MN"/>
        </w:rPr>
        <w:tab/>
      </w:r>
      <w:r w:rsidRPr="001C6B4D">
        <w:rPr>
          <w:rFonts w:ascii="Arial" w:hAnsi="Arial" w:cs="Arial"/>
          <w:sz w:val="24"/>
          <w:szCs w:val="24"/>
          <w:lang w:val="mn-MN"/>
        </w:rPr>
        <w:tab/>
        <w:t xml:space="preserve">МОНГОЛ УЛСЫН </w:t>
      </w:r>
    </w:p>
    <w:p w14:paraId="542FB3E5" w14:textId="77777777" w:rsidR="00DE0B5B" w:rsidRPr="001C6B4D" w:rsidRDefault="00985A81" w:rsidP="00352722">
      <w:pPr>
        <w:rPr>
          <w:rFonts w:ascii="Arial" w:hAnsi="Arial" w:cs="Arial"/>
          <w:sz w:val="24"/>
          <w:szCs w:val="24"/>
          <w:lang w:val="mn-MN"/>
        </w:rPr>
      </w:pPr>
      <w:r w:rsidRPr="001C6B4D">
        <w:rPr>
          <w:rFonts w:ascii="Arial" w:hAnsi="Arial" w:cs="Arial"/>
          <w:sz w:val="24"/>
          <w:szCs w:val="24"/>
          <w:lang w:val="mn-MN"/>
        </w:rPr>
        <w:tab/>
      </w:r>
      <w:r w:rsidRPr="001C6B4D">
        <w:rPr>
          <w:rFonts w:ascii="Arial" w:hAnsi="Arial" w:cs="Arial"/>
          <w:sz w:val="24"/>
          <w:szCs w:val="24"/>
          <w:lang w:val="mn-MN"/>
        </w:rPr>
        <w:tab/>
        <w:t>ИХ ХУРЛЫН ДАРГА</w:t>
      </w:r>
      <w:r w:rsidRPr="001C6B4D">
        <w:rPr>
          <w:rFonts w:ascii="Arial" w:hAnsi="Arial" w:cs="Arial"/>
          <w:sz w:val="24"/>
          <w:szCs w:val="24"/>
          <w:lang w:val="mn-MN"/>
        </w:rPr>
        <w:tab/>
      </w:r>
      <w:r w:rsidRPr="001C6B4D">
        <w:rPr>
          <w:rFonts w:ascii="Arial" w:hAnsi="Arial" w:cs="Arial"/>
          <w:sz w:val="24"/>
          <w:szCs w:val="24"/>
          <w:lang w:val="mn-MN"/>
        </w:rPr>
        <w:tab/>
      </w:r>
      <w:r w:rsidRPr="001C6B4D">
        <w:rPr>
          <w:rFonts w:ascii="Arial" w:hAnsi="Arial" w:cs="Arial"/>
          <w:sz w:val="24"/>
          <w:szCs w:val="24"/>
          <w:lang w:val="mn-MN"/>
        </w:rPr>
        <w:tab/>
      </w:r>
      <w:r w:rsidRPr="001C6B4D">
        <w:rPr>
          <w:rFonts w:ascii="Arial" w:hAnsi="Arial" w:cs="Arial"/>
          <w:sz w:val="24"/>
          <w:szCs w:val="24"/>
          <w:lang w:val="mn-MN"/>
        </w:rPr>
        <w:tab/>
        <w:t>Г.ЗАНДАНШАТАР</w:t>
      </w:r>
      <w:bookmarkStart w:id="0" w:name="_GoBack"/>
      <w:bookmarkEnd w:id="0"/>
    </w:p>
    <w:p w14:paraId="4515382D" w14:textId="77777777" w:rsidR="009E3E99" w:rsidRPr="001C6B4D" w:rsidRDefault="009E3E99">
      <w:pPr>
        <w:rPr>
          <w:rFonts w:ascii="Arial" w:hAnsi="Arial" w:cs="Arial"/>
          <w:lang w:val="mn-MN"/>
        </w:rPr>
      </w:pPr>
    </w:p>
    <w:sectPr w:rsidR="009E3E99" w:rsidRPr="001C6B4D" w:rsidSect="006122D7">
      <w:pgSz w:w="11907" w:h="16840" w:code="9"/>
      <w:pgMar w:top="1134" w:right="851" w:bottom="1134" w:left="1701" w:header="720"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E03D5" w14:textId="77777777" w:rsidR="00D76D4B" w:rsidRDefault="00D76D4B" w:rsidP="00DE0B5B">
      <w:r>
        <w:separator/>
      </w:r>
    </w:p>
  </w:endnote>
  <w:endnote w:type="continuationSeparator" w:id="0">
    <w:p w14:paraId="2D73CCF4" w14:textId="77777777" w:rsidR="00D76D4B" w:rsidRDefault="00D76D4B" w:rsidP="00DE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6F9B3" w14:textId="77777777" w:rsidR="00D76D4B" w:rsidRDefault="00D76D4B" w:rsidP="00DE0B5B">
      <w:r>
        <w:separator/>
      </w:r>
    </w:p>
  </w:footnote>
  <w:footnote w:type="continuationSeparator" w:id="0">
    <w:p w14:paraId="2D40470D" w14:textId="77777777" w:rsidR="00D76D4B" w:rsidRDefault="00D76D4B" w:rsidP="00DE0B5B">
      <w:r>
        <w:continuationSeparator/>
      </w:r>
    </w:p>
  </w:footnote>
  <w:footnote w:id="1">
    <w:p w14:paraId="380D4ADD" w14:textId="77777777" w:rsidR="00985A81" w:rsidRDefault="00DE0B5B" w:rsidP="00DE0B5B">
      <w:pPr>
        <w:pStyle w:val="FootnoteText"/>
        <w:jc w:val="both"/>
        <w:rPr>
          <w:rFonts w:ascii="Arial" w:hAnsi="Arial" w:cs="Arial"/>
          <w:lang w:val="mn-MN"/>
        </w:rPr>
      </w:pPr>
      <w:r w:rsidRPr="00CF5750">
        <w:rPr>
          <w:rStyle w:val="FootnoteReference"/>
          <w:rFonts w:ascii="Arial" w:hAnsi="Arial" w:cs="Arial"/>
        </w:rPr>
        <w:footnoteRef/>
      </w:r>
      <w:r w:rsidRPr="00CF5750">
        <w:rPr>
          <w:rFonts w:ascii="Arial" w:hAnsi="Arial" w:cs="Arial"/>
        </w:rPr>
        <w:t xml:space="preserve"> Хуульчийн эрх зүйн байдлын тухай хууль “Төрийн мэдээлэл” эмхэтгэлийн 2012 оны 11 дугаарт </w:t>
      </w:r>
    </w:p>
    <w:p w14:paraId="70FDD134" w14:textId="77777777" w:rsidR="00DE0B5B" w:rsidRPr="00CF5750" w:rsidRDefault="00985A81" w:rsidP="00DE0B5B">
      <w:pPr>
        <w:pStyle w:val="FootnoteText"/>
        <w:jc w:val="both"/>
        <w:rPr>
          <w:rFonts w:ascii="Arial" w:hAnsi="Arial" w:cs="Arial"/>
        </w:rPr>
      </w:pPr>
      <w:r>
        <w:rPr>
          <w:rFonts w:ascii="Arial" w:hAnsi="Arial" w:cs="Arial"/>
          <w:lang w:val="mn-MN"/>
        </w:rPr>
        <w:t xml:space="preserve">  </w:t>
      </w:r>
      <w:r w:rsidR="00DE0B5B" w:rsidRPr="00CF5750">
        <w:rPr>
          <w:rFonts w:ascii="Arial" w:hAnsi="Arial" w:cs="Arial"/>
        </w:rPr>
        <w:t>нийтлэгдсэн.</w:t>
      </w:r>
    </w:p>
    <w:p w14:paraId="544FBEB0" w14:textId="77777777" w:rsidR="00DE0B5B" w:rsidRDefault="00DE0B5B" w:rsidP="00DE0B5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B5B"/>
    <w:rsid w:val="000249A7"/>
    <w:rsid w:val="001C6B4D"/>
    <w:rsid w:val="00273440"/>
    <w:rsid w:val="00352722"/>
    <w:rsid w:val="004C3223"/>
    <w:rsid w:val="004C6F40"/>
    <w:rsid w:val="00543D94"/>
    <w:rsid w:val="006122D7"/>
    <w:rsid w:val="006439DD"/>
    <w:rsid w:val="006778FF"/>
    <w:rsid w:val="006F44C1"/>
    <w:rsid w:val="00812154"/>
    <w:rsid w:val="00923CA6"/>
    <w:rsid w:val="00925D27"/>
    <w:rsid w:val="00985A81"/>
    <w:rsid w:val="009E3E99"/>
    <w:rsid w:val="00AC3741"/>
    <w:rsid w:val="00BA71ED"/>
    <w:rsid w:val="00CD6BF9"/>
    <w:rsid w:val="00D76D4B"/>
    <w:rsid w:val="00DB16F5"/>
    <w:rsid w:val="00DE0B5B"/>
    <w:rsid w:val="00E14BE2"/>
    <w:rsid w:val="00E4299D"/>
    <w:rsid w:val="00FF0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8FC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0B5B"/>
    <w:pPr>
      <w:jc w:val="left"/>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E0B5B"/>
    <w:rPr>
      <w:sz w:val="20"/>
      <w:szCs w:val="20"/>
    </w:rPr>
  </w:style>
  <w:style w:type="character" w:customStyle="1" w:styleId="FootnoteTextChar">
    <w:name w:val="Footnote Text Char"/>
    <w:basedOn w:val="DefaultParagraphFont"/>
    <w:link w:val="FootnoteText"/>
    <w:semiHidden/>
    <w:rsid w:val="00DE0B5B"/>
    <w:rPr>
      <w:rFonts w:eastAsiaTheme="minorEastAsia"/>
      <w:sz w:val="20"/>
      <w:szCs w:val="20"/>
    </w:rPr>
  </w:style>
  <w:style w:type="character" w:styleId="FootnoteReference">
    <w:name w:val="footnote reference"/>
    <w:basedOn w:val="DefaultParagraphFont"/>
    <w:uiPriority w:val="99"/>
    <w:semiHidden/>
    <w:unhideWhenUsed/>
    <w:rsid w:val="00DE0B5B"/>
    <w:rPr>
      <w:vertAlign w:val="superscript"/>
    </w:rPr>
  </w:style>
  <w:style w:type="paragraph" w:styleId="BalloonText">
    <w:name w:val="Balloon Text"/>
    <w:basedOn w:val="Normal"/>
    <w:link w:val="BalloonTextChar"/>
    <w:uiPriority w:val="99"/>
    <w:semiHidden/>
    <w:unhideWhenUsed/>
    <w:rsid w:val="006439DD"/>
    <w:rPr>
      <w:rFonts w:ascii="Tahoma" w:hAnsi="Tahoma" w:cs="Tahoma"/>
      <w:sz w:val="16"/>
      <w:szCs w:val="16"/>
    </w:rPr>
  </w:style>
  <w:style w:type="character" w:customStyle="1" w:styleId="BalloonTextChar">
    <w:name w:val="Balloon Text Char"/>
    <w:basedOn w:val="DefaultParagraphFont"/>
    <w:link w:val="BalloonText"/>
    <w:uiPriority w:val="99"/>
    <w:semiHidden/>
    <w:rsid w:val="006439DD"/>
    <w:rPr>
      <w:rFonts w:ascii="Tahoma" w:eastAsiaTheme="minorEastAsia" w:hAnsi="Tahoma" w:cs="Tahoma"/>
      <w:sz w:val="16"/>
      <w:szCs w:val="16"/>
    </w:rPr>
  </w:style>
  <w:style w:type="paragraph" w:styleId="Header">
    <w:name w:val="header"/>
    <w:basedOn w:val="Normal"/>
    <w:link w:val="HeaderChar"/>
    <w:uiPriority w:val="99"/>
    <w:unhideWhenUsed/>
    <w:rsid w:val="006439DD"/>
    <w:pPr>
      <w:tabs>
        <w:tab w:val="center" w:pos="4680"/>
        <w:tab w:val="right" w:pos="9360"/>
      </w:tabs>
    </w:pPr>
  </w:style>
  <w:style w:type="character" w:customStyle="1" w:styleId="HeaderChar">
    <w:name w:val="Header Char"/>
    <w:basedOn w:val="DefaultParagraphFont"/>
    <w:link w:val="Header"/>
    <w:uiPriority w:val="99"/>
    <w:rsid w:val="006439DD"/>
    <w:rPr>
      <w:rFonts w:eastAsiaTheme="minorEastAsia"/>
      <w:sz w:val="22"/>
      <w:szCs w:val="22"/>
    </w:rPr>
  </w:style>
  <w:style w:type="paragraph" w:styleId="Footer">
    <w:name w:val="footer"/>
    <w:basedOn w:val="Normal"/>
    <w:link w:val="FooterChar"/>
    <w:uiPriority w:val="99"/>
    <w:unhideWhenUsed/>
    <w:rsid w:val="006439DD"/>
    <w:pPr>
      <w:tabs>
        <w:tab w:val="center" w:pos="4680"/>
        <w:tab w:val="right" w:pos="9360"/>
      </w:tabs>
    </w:pPr>
  </w:style>
  <w:style w:type="character" w:customStyle="1" w:styleId="FooterChar">
    <w:name w:val="Footer Char"/>
    <w:basedOn w:val="DefaultParagraphFont"/>
    <w:link w:val="Footer"/>
    <w:uiPriority w:val="99"/>
    <w:rsid w:val="006439DD"/>
    <w:rPr>
      <w:rFonts w:eastAsiaTheme="minorEastAsia"/>
      <w:sz w:val="22"/>
      <w:szCs w:val="22"/>
    </w:rPr>
  </w:style>
  <w:style w:type="paragraph" w:styleId="Title">
    <w:name w:val="Title"/>
    <w:basedOn w:val="Normal"/>
    <w:link w:val="TitleChar"/>
    <w:qFormat/>
    <w:rsid w:val="00352722"/>
    <w:pPr>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352722"/>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3F839-FBF6-BE44-808E-8DE15923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2019-11-25T07:54:00Z</cp:lastPrinted>
  <dcterms:created xsi:type="dcterms:W3CDTF">2019-12-24T01:54:00Z</dcterms:created>
  <dcterms:modified xsi:type="dcterms:W3CDTF">2019-12-24T01:54:00Z</dcterms:modified>
</cp:coreProperties>
</file>