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30" w:rsidRPr="009A33DE" w:rsidRDefault="00CA3130" w:rsidP="00CA3130">
      <w:pPr>
        <w:spacing w:after="0" w:line="360" w:lineRule="auto"/>
        <w:ind w:firstLine="720"/>
        <w:jc w:val="center"/>
        <w:rPr>
          <w:rFonts w:ascii="Arial" w:hAnsi="Arial" w:cs="Arial"/>
          <w:sz w:val="24"/>
          <w:szCs w:val="24"/>
          <w:lang w:val="mn-MN"/>
        </w:rPr>
      </w:pPr>
      <w:proofErr w:type="spellStart"/>
      <w:r w:rsidRPr="009A33DE">
        <w:rPr>
          <w:rFonts w:ascii="Arial" w:hAnsi="Arial" w:cs="Arial"/>
          <w:sz w:val="24"/>
          <w:szCs w:val="24"/>
        </w:rPr>
        <w:t>Эдийн</w:t>
      </w:r>
      <w:proofErr w:type="spellEnd"/>
      <w:r w:rsidRPr="009A33DE">
        <w:rPr>
          <w:rFonts w:ascii="Arial" w:hAnsi="Arial" w:cs="Arial"/>
          <w:sz w:val="24"/>
          <w:szCs w:val="24"/>
        </w:rPr>
        <w:t xml:space="preserve"> </w:t>
      </w:r>
      <w:proofErr w:type="spellStart"/>
      <w:r w:rsidRPr="009A33DE">
        <w:rPr>
          <w:rFonts w:ascii="Arial" w:hAnsi="Arial" w:cs="Arial"/>
          <w:sz w:val="24"/>
          <w:szCs w:val="24"/>
        </w:rPr>
        <w:t>засгийн</w:t>
      </w:r>
      <w:proofErr w:type="spellEnd"/>
      <w:r w:rsidRPr="009A33DE">
        <w:rPr>
          <w:rFonts w:ascii="Arial" w:hAnsi="Arial" w:cs="Arial"/>
          <w:sz w:val="24"/>
          <w:szCs w:val="24"/>
        </w:rPr>
        <w:t xml:space="preserve"> </w:t>
      </w:r>
      <w:proofErr w:type="spellStart"/>
      <w:r w:rsidRPr="009A33DE">
        <w:rPr>
          <w:rFonts w:ascii="Arial" w:hAnsi="Arial" w:cs="Arial"/>
          <w:sz w:val="24"/>
          <w:szCs w:val="24"/>
        </w:rPr>
        <w:t>байнгын</w:t>
      </w:r>
      <w:proofErr w:type="spellEnd"/>
      <w:r w:rsidRPr="009A33DE">
        <w:rPr>
          <w:rFonts w:ascii="Arial" w:hAnsi="Arial" w:cs="Arial"/>
          <w:sz w:val="24"/>
          <w:szCs w:val="24"/>
        </w:rPr>
        <w:t xml:space="preserve"> </w:t>
      </w:r>
      <w:proofErr w:type="spellStart"/>
      <w:r w:rsidRPr="009A33DE">
        <w:rPr>
          <w:rFonts w:ascii="Arial" w:hAnsi="Arial" w:cs="Arial"/>
          <w:sz w:val="24"/>
          <w:szCs w:val="24"/>
        </w:rPr>
        <w:t>хорооны</w:t>
      </w:r>
      <w:proofErr w:type="spellEnd"/>
      <w:r w:rsidRPr="009A33DE">
        <w:rPr>
          <w:rFonts w:ascii="Arial" w:hAnsi="Arial" w:cs="Arial"/>
          <w:sz w:val="24"/>
          <w:szCs w:val="24"/>
        </w:rPr>
        <w:t xml:space="preserve"> 2013 </w:t>
      </w:r>
      <w:proofErr w:type="spellStart"/>
      <w:r w:rsidRPr="009A33DE">
        <w:rPr>
          <w:rFonts w:ascii="Arial" w:hAnsi="Arial" w:cs="Arial"/>
          <w:sz w:val="24"/>
          <w:szCs w:val="24"/>
        </w:rPr>
        <w:t>оны</w:t>
      </w:r>
      <w:proofErr w:type="spellEnd"/>
      <w:r w:rsidRPr="009A33DE">
        <w:rPr>
          <w:rFonts w:ascii="Arial" w:hAnsi="Arial" w:cs="Arial"/>
          <w:sz w:val="24"/>
          <w:szCs w:val="24"/>
        </w:rPr>
        <w:t xml:space="preserve"> 12</w:t>
      </w:r>
      <w:r w:rsidRPr="009A33DE">
        <w:rPr>
          <w:rFonts w:ascii="Arial" w:hAnsi="Arial" w:cs="Arial"/>
          <w:sz w:val="24"/>
          <w:szCs w:val="24"/>
          <w:lang w:val="mn-MN"/>
        </w:rPr>
        <w:t xml:space="preserve"> дугаар </w:t>
      </w:r>
    </w:p>
    <w:p w:rsidR="00CA3130" w:rsidRPr="009A33DE" w:rsidRDefault="00CA3130" w:rsidP="00CA3130">
      <w:pPr>
        <w:spacing w:after="0" w:line="360" w:lineRule="auto"/>
        <w:ind w:firstLine="720"/>
        <w:jc w:val="center"/>
        <w:rPr>
          <w:rFonts w:ascii="Arial" w:hAnsi="Arial" w:cs="Arial"/>
          <w:sz w:val="24"/>
          <w:szCs w:val="24"/>
        </w:rPr>
      </w:pPr>
      <w:r w:rsidRPr="009A33DE">
        <w:rPr>
          <w:rFonts w:ascii="Arial" w:hAnsi="Arial" w:cs="Arial"/>
          <w:sz w:val="24"/>
          <w:szCs w:val="24"/>
          <w:lang w:val="mn-MN"/>
        </w:rPr>
        <w:t xml:space="preserve"> сарын 1</w:t>
      </w:r>
      <w:r w:rsidRPr="009A33DE">
        <w:rPr>
          <w:rFonts w:ascii="Arial" w:hAnsi="Arial" w:cs="Arial"/>
          <w:sz w:val="24"/>
          <w:szCs w:val="24"/>
        </w:rPr>
        <w:t>0</w:t>
      </w:r>
      <w:r w:rsidRPr="009A33DE">
        <w:rPr>
          <w:rFonts w:ascii="Arial" w:hAnsi="Arial" w:cs="Arial"/>
          <w:sz w:val="24"/>
          <w:szCs w:val="24"/>
          <w:lang w:val="mn-MN"/>
        </w:rPr>
        <w:t>-</w:t>
      </w:r>
      <w:proofErr w:type="spellStart"/>
      <w:r w:rsidRPr="009A33DE">
        <w:rPr>
          <w:rFonts w:ascii="Arial" w:hAnsi="Arial" w:cs="Arial"/>
          <w:sz w:val="24"/>
          <w:szCs w:val="24"/>
        </w:rPr>
        <w:t>ны</w:t>
      </w:r>
      <w:proofErr w:type="spellEnd"/>
      <w:r w:rsidRPr="009A33DE">
        <w:rPr>
          <w:rFonts w:ascii="Arial" w:hAnsi="Arial" w:cs="Arial"/>
          <w:sz w:val="24"/>
          <w:szCs w:val="24"/>
        </w:rPr>
        <w:t xml:space="preserve"> </w:t>
      </w:r>
      <w:proofErr w:type="spellStart"/>
      <w:r w:rsidRPr="009A33DE">
        <w:rPr>
          <w:rFonts w:ascii="Arial" w:hAnsi="Arial" w:cs="Arial"/>
          <w:sz w:val="24"/>
          <w:szCs w:val="24"/>
        </w:rPr>
        <w:t>өдр</w:t>
      </w:r>
      <w:proofErr w:type="spellEnd"/>
      <w:r w:rsidRPr="009A33DE">
        <w:rPr>
          <w:rFonts w:ascii="Arial" w:hAnsi="Arial" w:cs="Arial"/>
          <w:sz w:val="24"/>
          <w:szCs w:val="24"/>
          <w:lang w:val="mn-MN"/>
        </w:rPr>
        <w:t xml:space="preserve">ийн  </w:t>
      </w:r>
      <w:proofErr w:type="spellStart"/>
      <w:r w:rsidRPr="009A33DE">
        <w:rPr>
          <w:rFonts w:ascii="Arial" w:hAnsi="Arial" w:cs="Arial"/>
          <w:sz w:val="24"/>
          <w:szCs w:val="24"/>
        </w:rPr>
        <w:t>хуралдааны</w:t>
      </w:r>
      <w:proofErr w:type="spellEnd"/>
      <w:r w:rsidRPr="009A33DE">
        <w:rPr>
          <w:rFonts w:ascii="Arial" w:hAnsi="Arial" w:cs="Arial"/>
          <w:sz w:val="24"/>
          <w:szCs w:val="24"/>
        </w:rPr>
        <w:t xml:space="preserve"> </w:t>
      </w:r>
      <w:proofErr w:type="spellStart"/>
      <w:r w:rsidRPr="009A33DE">
        <w:rPr>
          <w:rFonts w:ascii="Arial" w:hAnsi="Arial" w:cs="Arial"/>
          <w:sz w:val="24"/>
          <w:szCs w:val="24"/>
        </w:rPr>
        <w:t>товч</w:t>
      </w:r>
      <w:proofErr w:type="spellEnd"/>
      <w:r w:rsidRPr="009A33DE">
        <w:rPr>
          <w:rFonts w:ascii="Arial" w:hAnsi="Arial" w:cs="Arial"/>
          <w:sz w:val="24"/>
          <w:szCs w:val="24"/>
        </w:rPr>
        <w:t xml:space="preserve"> </w:t>
      </w:r>
      <w:proofErr w:type="spellStart"/>
      <w:r w:rsidRPr="009A33DE">
        <w:rPr>
          <w:rFonts w:ascii="Arial" w:hAnsi="Arial" w:cs="Arial"/>
          <w:sz w:val="24"/>
          <w:szCs w:val="24"/>
        </w:rPr>
        <w:t>мэдээ</w:t>
      </w:r>
      <w:proofErr w:type="spellEnd"/>
    </w:p>
    <w:p w:rsidR="00CA3130" w:rsidRPr="009A33DE" w:rsidRDefault="00CA3130" w:rsidP="00CA3130">
      <w:pPr>
        <w:tabs>
          <w:tab w:val="left" w:pos="0"/>
          <w:tab w:val="left" w:pos="1665"/>
        </w:tabs>
        <w:spacing w:line="360" w:lineRule="auto"/>
        <w:ind w:right="-161"/>
        <w:jc w:val="both"/>
        <w:rPr>
          <w:rFonts w:ascii="Arial" w:hAnsi="Arial" w:cs="Arial"/>
          <w:sz w:val="24"/>
          <w:szCs w:val="24"/>
          <w:lang w:val="mn-MN"/>
        </w:rPr>
      </w:pPr>
      <w:r w:rsidRPr="009A33DE">
        <w:rPr>
          <w:rFonts w:ascii="Arial" w:hAnsi="Arial" w:cs="Arial"/>
          <w:sz w:val="24"/>
          <w:szCs w:val="24"/>
        </w:rPr>
        <w:tab/>
        <w:t xml:space="preserve"> </w:t>
      </w:r>
      <w:r w:rsidRPr="009A33DE">
        <w:rPr>
          <w:rFonts w:ascii="Arial" w:hAnsi="Arial" w:cs="Arial"/>
          <w:sz w:val="24"/>
          <w:szCs w:val="24"/>
          <w:lang w:val="mn-MN"/>
        </w:rPr>
        <w:t xml:space="preserve">    </w:t>
      </w:r>
    </w:p>
    <w:p w:rsidR="00FD7B6F" w:rsidRDefault="00CA3130" w:rsidP="00FD7B6F">
      <w:pPr>
        <w:tabs>
          <w:tab w:val="left" w:pos="0"/>
          <w:tab w:val="left" w:pos="1665"/>
        </w:tabs>
        <w:spacing w:line="360" w:lineRule="auto"/>
        <w:ind w:right="-161"/>
        <w:jc w:val="both"/>
        <w:rPr>
          <w:rFonts w:ascii="Arial" w:hAnsi="Arial" w:cs="Arial"/>
          <w:sz w:val="24"/>
          <w:szCs w:val="24"/>
          <w:lang w:val="mn-MN"/>
        </w:rPr>
      </w:pPr>
      <w:r w:rsidRPr="009A33DE">
        <w:rPr>
          <w:rFonts w:ascii="Arial" w:hAnsi="Arial" w:cs="Arial"/>
          <w:sz w:val="24"/>
          <w:szCs w:val="24"/>
          <w:lang w:val="mn-MN"/>
        </w:rPr>
        <w:t xml:space="preserve">           </w:t>
      </w:r>
      <w:r w:rsidR="00FD7B6F">
        <w:rPr>
          <w:rFonts w:ascii="Arial" w:hAnsi="Arial" w:cs="Arial"/>
          <w:sz w:val="24"/>
          <w:szCs w:val="24"/>
          <w:lang w:val="mn-MN"/>
        </w:rPr>
        <w:t xml:space="preserve">Эдийн засгийн байнгын хорооноос </w:t>
      </w:r>
      <w:r w:rsidRPr="009A33DE">
        <w:rPr>
          <w:rFonts w:ascii="Arial" w:hAnsi="Arial" w:cs="Arial"/>
          <w:sz w:val="24"/>
          <w:szCs w:val="24"/>
          <w:lang w:val="mn-MN"/>
        </w:rPr>
        <w:t xml:space="preserve">2013 оны </w:t>
      </w:r>
      <w:r w:rsidR="009A33DE" w:rsidRPr="009A33DE">
        <w:rPr>
          <w:rFonts w:ascii="Arial" w:hAnsi="Arial" w:cs="Arial"/>
          <w:sz w:val="24"/>
          <w:szCs w:val="24"/>
        </w:rPr>
        <w:t xml:space="preserve">09 </w:t>
      </w:r>
      <w:r w:rsidR="009A33DE" w:rsidRPr="009A33DE">
        <w:rPr>
          <w:rFonts w:ascii="Arial" w:hAnsi="Arial" w:cs="Arial"/>
          <w:sz w:val="24"/>
          <w:szCs w:val="24"/>
          <w:lang w:val="mn-MN"/>
        </w:rPr>
        <w:t xml:space="preserve">дүгээр сарын 18-ны өдөр  </w:t>
      </w:r>
      <w:r w:rsidR="00FD7B6F">
        <w:rPr>
          <w:rFonts w:ascii="Arial" w:hAnsi="Arial" w:cs="Arial"/>
          <w:sz w:val="24"/>
          <w:szCs w:val="24"/>
          <w:lang w:val="mn-MN"/>
        </w:rPr>
        <w:t>“</w:t>
      </w:r>
      <w:r w:rsidR="00FD7B6F" w:rsidRPr="009A33DE">
        <w:rPr>
          <w:rFonts w:ascii="Arial" w:hAnsi="Arial" w:cs="Arial"/>
          <w:sz w:val="24"/>
          <w:szCs w:val="24"/>
          <w:lang w:val="mn-MN"/>
        </w:rPr>
        <w:t>Төрөөс мөнгөний бодлогын талаар 2013 онд баримтлах үндсэн чиглэл, Төвбанкны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w:t>
      </w:r>
      <w:r w:rsidR="00FD7B6F">
        <w:rPr>
          <w:rFonts w:ascii="Arial" w:hAnsi="Arial" w:cs="Arial"/>
          <w:sz w:val="24"/>
          <w:szCs w:val="24"/>
          <w:lang w:val="mn-MN"/>
        </w:rPr>
        <w:t xml:space="preserve">, </w:t>
      </w:r>
      <w:r w:rsidR="00FD7B6F" w:rsidRPr="009A33DE">
        <w:rPr>
          <w:rFonts w:ascii="Arial" w:hAnsi="Arial" w:cs="Arial"/>
          <w:sz w:val="24"/>
          <w:szCs w:val="24"/>
          <w:lang w:val="mn-MN"/>
        </w:rPr>
        <w:t>Санхүүгийн зохицуулах хорооны эрх зүйн байдлын тухай хуулийн хэрэгжилтийг</w:t>
      </w:r>
      <w:r w:rsidR="00564CCC">
        <w:rPr>
          <w:rFonts w:ascii="Arial" w:hAnsi="Arial" w:cs="Arial"/>
          <w:sz w:val="24"/>
          <w:szCs w:val="24"/>
          <w:lang w:val="mn-MN"/>
        </w:rPr>
        <w:t xml:space="preserve"> Санхүүгийн зохицуулах хороонд</w:t>
      </w:r>
      <w:r w:rsidR="00FD7B6F">
        <w:rPr>
          <w:rFonts w:ascii="Arial" w:hAnsi="Arial" w:cs="Arial"/>
          <w:sz w:val="24"/>
          <w:szCs w:val="24"/>
          <w:lang w:val="mn-MN"/>
        </w:rPr>
        <w:t xml:space="preserve">, </w:t>
      </w:r>
      <w:r w:rsidR="00FD7B6F" w:rsidRPr="009A33DE">
        <w:rPr>
          <w:rFonts w:ascii="Arial" w:hAnsi="Arial" w:cs="Arial"/>
          <w:sz w:val="24"/>
          <w:szCs w:val="24"/>
          <w:lang w:val="mn-MN"/>
        </w:rPr>
        <w:t xml:space="preserve">Статистикийн тухай хуулийн хэрэгжилтийг Үндэсний статистикийн хороонд </w:t>
      </w:r>
      <w:r w:rsidR="00FD7B6F">
        <w:rPr>
          <w:rFonts w:ascii="Arial" w:hAnsi="Arial" w:cs="Arial"/>
          <w:sz w:val="24"/>
          <w:szCs w:val="24"/>
          <w:lang w:val="mn-MN"/>
        </w:rPr>
        <w:t xml:space="preserve"> шалган танилцах</w:t>
      </w:r>
      <w:r w:rsidR="00FD7B6F" w:rsidRPr="00FD7B6F">
        <w:rPr>
          <w:rFonts w:ascii="Arial" w:hAnsi="Arial" w:cs="Arial"/>
          <w:sz w:val="24"/>
          <w:szCs w:val="24"/>
          <w:lang w:val="mn-MN"/>
        </w:rPr>
        <w:t xml:space="preserve"> </w:t>
      </w:r>
      <w:r w:rsidR="00FD7B6F">
        <w:rPr>
          <w:rFonts w:ascii="Arial" w:hAnsi="Arial" w:cs="Arial"/>
          <w:sz w:val="24"/>
          <w:szCs w:val="24"/>
          <w:lang w:val="mn-MN"/>
        </w:rPr>
        <w:t>ажлын хэсэг байгуулагд</w:t>
      </w:r>
      <w:r w:rsidR="00FD7B6F" w:rsidRPr="009A33DE">
        <w:rPr>
          <w:rFonts w:ascii="Arial" w:hAnsi="Arial" w:cs="Arial"/>
          <w:sz w:val="24"/>
          <w:szCs w:val="24"/>
          <w:lang w:val="mn-MN"/>
        </w:rPr>
        <w:t>ан</w:t>
      </w:r>
      <w:r w:rsidR="00564CCC">
        <w:rPr>
          <w:rFonts w:ascii="Arial" w:hAnsi="Arial" w:cs="Arial"/>
          <w:sz w:val="24"/>
          <w:szCs w:val="24"/>
          <w:lang w:val="mn-MN"/>
        </w:rPr>
        <w:t>, уг ажлын хэсгийн дүнг</w:t>
      </w:r>
      <w:r w:rsidR="00FD7B6F">
        <w:rPr>
          <w:rFonts w:ascii="Arial" w:hAnsi="Arial" w:cs="Arial"/>
          <w:sz w:val="24"/>
          <w:szCs w:val="24"/>
          <w:lang w:val="mn-MN"/>
        </w:rPr>
        <w:t xml:space="preserve"> </w:t>
      </w:r>
      <w:r w:rsidRPr="009A33DE">
        <w:rPr>
          <w:rFonts w:ascii="Arial" w:hAnsi="Arial" w:cs="Arial"/>
          <w:sz w:val="24"/>
          <w:szCs w:val="24"/>
          <w:lang w:val="mn-MN"/>
        </w:rPr>
        <w:t xml:space="preserve">Эдийн засгийн Байнгын хорооны </w:t>
      </w:r>
      <w:r w:rsidR="00564CCC">
        <w:rPr>
          <w:rFonts w:ascii="Arial" w:hAnsi="Arial" w:cs="Arial"/>
          <w:sz w:val="24"/>
          <w:szCs w:val="24"/>
          <w:lang w:val="mn-MN"/>
        </w:rPr>
        <w:t>10 дугаар сарын 10</w:t>
      </w:r>
      <w:r w:rsidR="00564CCC" w:rsidRPr="009A33DE">
        <w:rPr>
          <w:rFonts w:ascii="Arial" w:hAnsi="Arial" w:cs="Arial"/>
          <w:sz w:val="24"/>
          <w:szCs w:val="24"/>
          <w:lang w:val="mn-MN"/>
        </w:rPr>
        <w:t xml:space="preserve">-ны </w:t>
      </w:r>
      <w:r w:rsidR="00564CCC">
        <w:rPr>
          <w:rFonts w:ascii="Arial" w:hAnsi="Arial" w:cs="Arial"/>
          <w:sz w:val="24"/>
          <w:szCs w:val="24"/>
          <w:lang w:val="mn-MN"/>
        </w:rPr>
        <w:t xml:space="preserve"> өдрийн </w:t>
      </w:r>
      <w:r w:rsidR="00564CCC" w:rsidRPr="009A33DE">
        <w:rPr>
          <w:rFonts w:ascii="Arial" w:hAnsi="Arial" w:cs="Arial"/>
          <w:sz w:val="24"/>
          <w:szCs w:val="24"/>
          <w:lang w:val="mn-MN"/>
        </w:rPr>
        <w:t xml:space="preserve"> </w:t>
      </w:r>
      <w:r w:rsidR="00FD7B6F">
        <w:rPr>
          <w:rFonts w:ascii="Arial" w:hAnsi="Arial" w:cs="Arial"/>
          <w:sz w:val="24"/>
          <w:szCs w:val="24"/>
          <w:lang w:val="mn-MN"/>
        </w:rPr>
        <w:t xml:space="preserve">хуралдаанаар сонсож, дараах чиглэлүүдийг өгөв. </w:t>
      </w:r>
    </w:p>
    <w:p w:rsidR="00A9716F" w:rsidRPr="009A33DE" w:rsidRDefault="00FD7B6F" w:rsidP="00A9716F">
      <w:pPr>
        <w:tabs>
          <w:tab w:val="left" w:pos="567"/>
        </w:tabs>
        <w:spacing w:after="0"/>
        <w:jc w:val="both"/>
        <w:rPr>
          <w:rFonts w:ascii="Arial" w:hAnsi="Arial" w:cs="Arial"/>
          <w:sz w:val="24"/>
          <w:szCs w:val="24"/>
          <w:lang w:val="mn-MN"/>
        </w:rPr>
      </w:pPr>
      <w:r w:rsidRPr="00A9716F">
        <w:rPr>
          <w:rFonts w:ascii="Arial" w:hAnsi="Arial" w:cs="Arial"/>
          <w:b/>
          <w:sz w:val="24"/>
          <w:szCs w:val="24"/>
          <w:lang w:val="mn-MN"/>
        </w:rPr>
        <w:t xml:space="preserve">          </w:t>
      </w:r>
      <w:r w:rsidR="00A9716F" w:rsidRPr="00A9716F">
        <w:rPr>
          <w:rFonts w:ascii="Arial" w:hAnsi="Arial" w:cs="Arial"/>
          <w:b/>
          <w:sz w:val="24"/>
          <w:szCs w:val="24"/>
          <w:lang w:val="mn-MN"/>
        </w:rPr>
        <w:t>Нэг:</w:t>
      </w:r>
      <w:r w:rsidR="00A9716F">
        <w:rPr>
          <w:rFonts w:ascii="Arial" w:hAnsi="Arial" w:cs="Arial"/>
          <w:sz w:val="24"/>
          <w:szCs w:val="24"/>
          <w:lang w:val="mn-MN"/>
        </w:rPr>
        <w:t xml:space="preserve"> </w:t>
      </w:r>
      <w:r w:rsidR="00064A16" w:rsidRPr="00FD7B6F">
        <w:rPr>
          <w:rFonts w:ascii="Arial" w:hAnsi="Arial" w:cs="Arial"/>
          <w:sz w:val="24"/>
          <w:szCs w:val="24"/>
          <w:lang w:val="mn-MN"/>
        </w:rPr>
        <w:t xml:space="preserve">Төрөөс мөнгөний бодлогын талаар 2013 онд баримтлах үндсэн чиглэл, Төвбанкны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шалган </w:t>
      </w:r>
      <w:r w:rsidR="00A9716F" w:rsidRPr="009A33DE">
        <w:rPr>
          <w:rFonts w:ascii="Arial" w:hAnsi="Arial" w:cs="Arial"/>
          <w:sz w:val="24"/>
          <w:szCs w:val="24"/>
          <w:lang w:val="mn-MN"/>
        </w:rPr>
        <w:t>хороонд  дараах чиглэлийг өгөх нь зүйтэй гэж үзэв. Үүнд:</w:t>
      </w:r>
    </w:p>
    <w:p w:rsidR="00A9716F" w:rsidRDefault="00A9716F" w:rsidP="00A9716F">
      <w:pPr>
        <w:tabs>
          <w:tab w:val="left" w:pos="0"/>
          <w:tab w:val="left" w:pos="1665"/>
        </w:tabs>
        <w:spacing w:line="360" w:lineRule="auto"/>
        <w:ind w:right="-161"/>
        <w:jc w:val="both"/>
        <w:rPr>
          <w:rFonts w:ascii="Arial" w:hAnsi="Arial" w:cs="Arial"/>
          <w:b/>
          <w:sz w:val="24"/>
          <w:szCs w:val="24"/>
          <w:lang w:val="mn-MN"/>
        </w:rPr>
      </w:pPr>
    </w:p>
    <w:p w:rsidR="00064A16" w:rsidRPr="009A33DE" w:rsidRDefault="00A9716F" w:rsidP="00A9716F">
      <w:pPr>
        <w:tabs>
          <w:tab w:val="left" w:pos="0"/>
          <w:tab w:val="left" w:pos="1665"/>
        </w:tabs>
        <w:spacing w:line="360" w:lineRule="auto"/>
        <w:ind w:right="-161"/>
        <w:jc w:val="both"/>
        <w:rPr>
          <w:rFonts w:ascii="Arial" w:hAnsi="Arial" w:cs="Arial"/>
          <w:b/>
          <w:sz w:val="24"/>
          <w:szCs w:val="24"/>
          <w:lang w:val="mn-MN"/>
        </w:rPr>
      </w:pPr>
      <w:r>
        <w:rPr>
          <w:rFonts w:ascii="Arial" w:hAnsi="Arial" w:cs="Arial"/>
          <w:b/>
          <w:sz w:val="24"/>
          <w:szCs w:val="24"/>
          <w:lang w:val="mn-MN"/>
        </w:rPr>
        <w:t xml:space="preserve">          </w:t>
      </w:r>
      <w:r w:rsidR="00064A16" w:rsidRPr="009A33DE">
        <w:rPr>
          <w:rFonts w:ascii="Arial" w:hAnsi="Arial" w:cs="Arial"/>
          <w:b/>
          <w:sz w:val="24"/>
          <w:szCs w:val="24"/>
          <w:lang w:val="mn-MN"/>
        </w:rPr>
        <w:t xml:space="preserve">1. Мөнгөний бодлогын зорилтын хүрээнд: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1.1 Жижиг, дунд үйлдвэрлэлийг хөгжүүлэх сан, бичил бизнесийн сан зэрэг тусгай сангуудад Төв банкны зүгээс санхүүжилт хийх тогтолцоог бүрдүүлэх чиглэлээр Засгийн газар, Санхүүгийн зохицуулах хороотой хамтран ажиллах,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1.2 Бичил болон жижиг, дунд бизнесийн санхүүжилтийн чиглэлээр санаачлага гарган ажиллаж байгаа банкны заавал байлгах нөөц, төлбөр түргэн гүйцэтгэх чадвар зэрэг зохистой харьцааны шалгуур үзүүлэлтүүдийг уян хатан тогтоох, Төв банкны үнэт цаасны хэмжээ, хүүгийн түвшинг бууруулах хугацааг уртасгах нөхцлийг бүрдүүлэх асуудлыг судлан боловсруулах,</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1.3 Валютын зах зээлийн өнөөгийн үйлчилж буй хэлбэр болох банк хоорондын зах зээлд оролцогчдын тоог банк, бус санхүүгийн байгууллага, санхүүгийн зах зээлийн бусад оролцогчид, томоохон экспорт, импортын компанийг оролцуулах замаар нэмэдүүлэх,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lastRenderedPageBreak/>
        <w:t xml:space="preserve">1.4 Төв банкны гадаад валютын нөөцийн болон Засгийн газрын өрийн багцуудыг хооронд нь уялдуулж, ханшийн эрсдлээс хамгаалах механизм бий болгох,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1.5 Валютын ханшийн дэглэмийн асуудлыг валютын тухай хууль тогтоомжид тодорхой тусгаж өгөх, зохицуулалттай хөвөх ханшийн дэглэмтэй бусад орны нийтлэг жишгийн дагуу ханшийн хэт хэлбэлзэл, цочрол үүссэн үед зөвхөн интервенцийн арга хэрэгсэл бус, ханшийн эрсдлээс хамгаалах үүсмэл хэрэгслүүдийг үр дүнтэй ашиглах чиглэлээр холбогдох хууль тогтоомжуудад нэмэлт, өөрчлөлт оруулах,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1.6 Эдийн засаг дахь долларжилтын түвшинг зохистой хэмжээнд байлгах, Монгол улсын нутаг дэвсгэр дээр төгрөгөөр гүйлгээ тооцоо хийх тухай хууль эрх зүйн орчинд өөрчлөлт оруулах, арилжааны банкны төгрөгийн болон валютын зээл, хадгаламжийн зохистой харьцааны зөвлөмжийн шинжтэй /индикатив/ үзүүлэлтийг тогтоон арилжааны банкинд зөвлөмж болгох, арилжааны банк, төрийн өмчийн томоохон аж ахуйн нэгжийн гадаад төлбөр тооцоо, хадгаламжийн дансны гүйлгээнд үр дүнтэй хяналт тавих механизм бүрдүүлэх,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1.7 Валтютын ханшийг хэт хэлбэлзэл, цочроо үүссэн үед ханш хэлбэлзэх тодорхой хязгаар буюу валютын ханшийн  “хонгилыг” тодорхойлох, хадгаламжийн дээд хэмжээг тогтоох, хүүгийн түвшинг удирдах зэрэг стандарт бус арга хэмжээг тодорхой цаг хугацааны хуваарьтайгаар Төв банкны зүгээс хэрэгжүүлэх бэлтгэлтэй байх, энэ талаар санхүүгийн тогтвортой байдлын зөвлөл хэрэгцээ шаардлага үүссэн  нөхцөлд шаардлагатай арга хэмжээнүүдийг төлөвлөж хэрэгжүүлэх,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1.8 Валютын нэрлэсэн болон бодит ханшийн индексийг тооцох арга зүйг мөнгөний бодлогын индексийг тооцох макро эдийн засгийн үзүүлэлт болгох, валютын ханшийн өөрчлөлтөд нөлөөлж буй дамын /слекулятив/ хүчин зүйлийн нөлөөллийг тооцон, шалтгааныг арилгах чиглэлээр тогтмол мониторинг хийж, холбогдох арга хэмжээг авч байх,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1.9 Үндэсний мөнгөн тэмдэгтийн тогтвортой байдлыг хангах, ханшийн эрсдлээс хамгаалах зорилгоор </w:t>
      </w:r>
      <w:r w:rsidRPr="009A33DE">
        <w:rPr>
          <w:rFonts w:ascii="Arial" w:hAnsi="Arial" w:cs="Arial"/>
          <w:sz w:val="24"/>
          <w:szCs w:val="24"/>
        </w:rPr>
        <w:t>SWAP</w:t>
      </w:r>
      <w:r w:rsidRPr="009A33DE">
        <w:rPr>
          <w:rFonts w:ascii="Arial" w:hAnsi="Arial" w:cs="Arial"/>
          <w:sz w:val="24"/>
          <w:szCs w:val="24"/>
          <w:lang w:val="mn-MN"/>
        </w:rPr>
        <w:t xml:space="preserve"> хэлэлцээрээр бий болсон боломж, нөхцөлүүдийг ашиглах,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1.10 Хөгжлийн банкийг банкны системийн бүрэлдэхүүн хэсэг болгох асуудлыг судлаж, холбогдох хууль, тогтоомжид өөрчлөлт оруулах чиглэлээр Засгийн газартай хамтран ажиллах,  </w:t>
      </w:r>
    </w:p>
    <w:p w:rsidR="00064A16" w:rsidRPr="009A33DE" w:rsidRDefault="00064A16" w:rsidP="00064A16">
      <w:pPr>
        <w:ind w:left="1440" w:hanging="720"/>
        <w:jc w:val="both"/>
        <w:rPr>
          <w:rFonts w:ascii="Arial" w:hAnsi="Arial" w:cs="Arial"/>
          <w:b/>
          <w:sz w:val="24"/>
          <w:szCs w:val="24"/>
          <w:lang w:val="mn-MN"/>
        </w:rPr>
      </w:pPr>
      <w:r w:rsidRPr="009A33DE">
        <w:rPr>
          <w:rFonts w:ascii="Arial" w:hAnsi="Arial" w:cs="Arial"/>
          <w:b/>
          <w:sz w:val="24"/>
          <w:szCs w:val="24"/>
          <w:lang w:val="mn-MN"/>
        </w:rPr>
        <w:lastRenderedPageBreak/>
        <w:t xml:space="preserve">2. Банкны салбарт тогтвортой байдлыг бэхжүүлэх, тогтвортой санхүүжилт, сайн засаглалыг хөгжүүлэх хүрээнд: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2.1 Банкин дахь мөнгөн хадгаламжийн даатгалын хураамжийн хувь хэмжээг арилжааны банкны ашигт ажиллагаа, санхүүгийн үзүүлэлтүүдэд хүндрэл учруулахгүй, санхүүгийн зохистой харьцаа, шалгуур үзүүлэлтүүд алдагдах нөхцөл байдал үүсгэхгүй байхаар өөрчлөх асуудлыг судлах,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2.2 Арилжааны банкны үйл ажиллагаанд сайн засаглалын зарчмуудыг нэвтрүүлэх, банкны үүсгэн байгуулагч, өмчлөгчдийн ил тод байдлыг хангах, нийт хувьцаа эзэмшигчдийн эрх ашгийг хамгаалах, хараат бус төлөөлөн удирдах зөвлөлийг төлөвшүүлэх чиглэлээр Төв банкны зүгээс тусгай бодлого гаргаж хэрэгжүүлэх,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2.3 Арилжааны банкууд тогтвортой болон оролцоотой санхүүжилтийн олон улсын стандарт, зарчмууд, үзэл баримтлалыг үйл ажиллагаандаа нэвтрүүлэхэд нь Төв банкны зүгээс бодлогоор дэмжиж, байгаль орчин, ногоон бизнесийг санхүүжүүлж, компанийн нийгмийн хариуцлага, бичил бизнесийн олон улсын шилдэг туршлагыг үйл ажиллагаандаа амжилттай нэвтрүүлж буй туршлагыг түгээн дэлгэрүүлэх,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2.4 Монгол улсын олон улсын зээлийн зэрэглэл буурах эрсдлээс урьдчилан сэргийлэх, зээлийн зэрэглэлийг нэмэгдүүлэх, өрийн хүндрэлийн эрсдлийн түвшинг бууруулах, гадаад өрийн үйлчилгээний эргэн төлөлт санхүүгийн тогтвортой байдалд үзүүлэх сөрөг нөлөөлөлийг багасгах чиглэлээр Засгийн газартай хамтран ажиллах, </w:t>
      </w:r>
    </w:p>
    <w:p w:rsidR="00064A16" w:rsidRPr="009A33DE" w:rsidRDefault="00064A16" w:rsidP="00064A16">
      <w:pPr>
        <w:ind w:left="1440"/>
        <w:jc w:val="both"/>
        <w:rPr>
          <w:rFonts w:ascii="Arial" w:hAnsi="Arial" w:cs="Arial"/>
          <w:b/>
          <w:sz w:val="24"/>
          <w:szCs w:val="24"/>
          <w:lang w:val="mn-MN"/>
        </w:rPr>
      </w:pPr>
      <w:r w:rsidRPr="009A33DE">
        <w:rPr>
          <w:rFonts w:ascii="Arial" w:hAnsi="Arial" w:cs="Arial"/>
          <w:b/>
          <w:sz w:val="24"/>
          <w:szCs w:val="24"/>
          <w:lang w:val="mn-MN"/>
        </w:rPr>
        <w:t xml:space="preserve">3. Санхүүгийн зах зээлийн дэд бүтэц, түүний институцийг бэхжүүлэх хүрээнд:  </w:t>
      </w:r>
    </w:p>
    <w:p w:rsidR="00064A16" w:rsidRPr="009A33DE" w:rsidRDefault="00064A16" w:rsidP="00064A16">
      <w:pPr>
        <w:ind w:left="720"/>
        <w:jc w:val="both"/>
        <w:rPr>
          <w:rFonts w:ascii="Arial" w:hAnsi="Arial" w:cs="Arial"/>
          <w:sz w:val="24"/>
          <w:szCs w:val="24"/>
          <w:lang w:val="mn-MN"/>
        </w:rPr>
      </w:pPr>
      <w:r w:rsidRPr="009A33DE">
        <w:rPr>
          <w:rFonts w:ascii="Arial" w:hAnsi="Arial" w:cs="Arial"/>
          <w:b/>
          <w:sz w:val="24"/>
          <w:szCs w:val="24"/>
          <w:lang w:val="mn-MN"/>
        </w:rPr>
        <w:tab/>
      </w:r>
      <w:r w:rsidRPr="009A33DE">
        <w:rPr>
          <w:rFonts w:ascii="Arial" w:hAnsi="Arial" w:cs="Arial"/>
          <w:sz w:val="24"/>
          <w:szCs w:val="24"/>
          <w:lang w:val="mn-MN"/>
        </w:rPr>
        <w:t xml:space="preserve">3.1 Монгол Улсын төлбөр тооцооны найдвартай, тасралтгүй ажиллагааг хангах хүрээнд Төв банк болон арилжааны банкны одоогийн төлбөр тооцооны дэд бүтцийг төгөлдөржүүлэх талаар арилжааны банкууд, олон улсын байгууллагуудтай хамтран ажиллах, </w:t>
      </w:r>
    </w:p>
    <w:p w:rsidR="00064A16" w:rsidRPr="009A33DE" w:rsidRDefault="00064A16" w:rsidP="00064A16">
      <w:pPr>
        <w:ind w:left="720" w:firstLine="720"/>
        <w:jc w:val="both"/>
        <w:rPr>
          <w:rFonts w:ascii="Arial" w:hAnsi="Arial" w:cs="Arial"/>
          <w:sz w:val="24"/>
          <w:szCs w:val="24"/>
          <w:lang w:val="mn-MN"/>
        </w:rPr>
      </w:pPr>
      <w:r w:rsidRPr="009A33DE">
        <w:rPr>
          <w:rFonts w:ascii="Arial" w:hAnsi="Arial" w:cs="Arial"/>
          <w:sz w:val="24"/>
          <w:szCs w:val="24"/>
          <w:lang w:val="mn-MN"/>
        </w:rPr>
        <w:t xml:space="preserve">3.2 Төлбөр тооцооны системийн шинэчлэлийг 2014-2016 онд хэрэгжүүлэхдээ арилжааны банкууд зах зээлийн зарчмаар өрсөлдөн хөгжих, үр ашигтай ажиллах боломжийг хангах, техник технологийн шаардлагатай стандарт нөхцлүүдийг тодорхойлсон эрх зүйн баримт бичгүүдийг боловсруулж гаргах, Үндэсний цахим үйлчилгээний төвийг хувийн хэвшлийн менежментийн зарчмаар ажиллуулах асуудлыг судлан боловсруулах, </w:t>
      </w:r>
    </w:p>
    <w:p w:rsidR="00064A16" w:rsidRPr="009A33DE" w:rsidRDefault="00064A16" w:rsidP="00064A16">
      <w:pPr>
        <w:ind w:left="720" w:firstLine="720"/>
        <w:jc w:val="both"/>
        <w:rPr>
          <w:rFonts w:ascii="Arial" w:hAnsi="Arial" w:cs="Arial"/>
          <w:sz w:val="24"/>
          <w:szCs w:val="24"/>
        </w:rPr>
      </w:pPr>
      <w:r w:rsidRPr="009A33DE">
        <w:rPr>
          <w:rFonts w:ascii="Arial" w:hAnsi="Arial" w:cs="Arial"/>
          <w:sz w:val="24"/>
          <w:szCs w:val="24"/>
          <w:lang w:val="mn-MN"/>
        </w:rPr>
        <w:lastRenderedPageBreak/>
        <w:t xml:space="preserve">3.3 Мөнгөний бодлогыг хэрэгжүүлэх, банкны салбарын тогтвортой байдлыг бэхжүүлэх, санхүүгийн зах зээлийн дэд бүтэц, банкны салбарын хүний нөөцийн хөгжлийн хүрээнд Төв банк, арилжааны банк, тэдгээрийн төлөөллийн байгууллагуудын хооронд хамтын ажиллагааны үр нөлөөтэй механизмыг төлөвшүүлэн хөгжүүлэх, </w:t>
      </w:r>
    </w:p>
    <w:p w:rsidR="00064A16" w:rsidRPr="009A33DE" w:rsidRDefault="00064A16" w:rsidP="00064A16">
      <w:pPr>
        <w:ind w:left="720" w:firstLine="720"/>
        <w:jc w:val="both"/>
        <w:rPr>
          <w:rFonts w:ascii="Arial" w:hAnsi="Arial" w:cs="Arial"/>
          <w:sz w:val="24"/>
          <w:szCs w:val="24"/>
          <w:lang w:val="mn-MN"/>
        </w:rPr>
      </w:pPr>
      <w:proofErr w:type="gramStart"/>
      <w:r w:rsidRPr="009A33DE">
        <w:rPr>
          <w:rFonts w:ascii="Arial" w:hAnsi="Arial" w:cs="Arial"/>
          <w:sz w:val="24"/>
          <w:szCs w:val="24"/>
        </w:rPr>
        <w:t>3</w:t>
      </w:r>
      <w:r w:rsidRPr="009A33DE">
        <w:rPr>
          <w:rFonts w:ascii="Arial" w:hAnsi="Arial" w:cs="Arial"/>
          <w:sz w:val="24"/>
          <w:szCs w:val="24"/>
          <w:lang w:val="mn-MN"/>
        </w:rPr>
        <w:t>.4 Мөнгөний бодлогын зөвлөлөөр мөнгөний бодлогын үндсэн чиглэлийн биелэлт, валютын ханш, үйл ажиллагааны төлөвлөгөөний биелэлт зэргийг улирал бүр хэлэлцэж, дүнг ЭЗБХ-нд ирүүлж байх.</w:t>
      </w:r>
      <w:proofErr w:type="gramEnd"/>
      <w:r w:rsidRPr="009A33DE">
        <w:rPr>
          <w:rFonts w:ascii="Arial" w:hAnsi="Arial" w:cs="Arial"/>
          <w:sz w:val="24"/>
          <w:szCs w:val="24"/>
          <w:lang w:val="mn-MN"/>
        </w:rPr>
        <w:t xml:space="preserve"> </w:t>
      </w:r>
    </w:p>
    <w:p w:rsidR="00064A16" w:rsidRPr="009A33DE" w:rsidRDefault="00064A16" w:rsidP="00064A16">
      <w:pPr>
        <w:spacing w:after="0"/>
        <w:ind w:left="720" w:firstLine="720"/>
        <w:jc w:val="both"/>
        <w:rPr>
          <w:rFonts w:ascii="Arial" w:hAnsi="Arial" w:cs="Arial"/>
          <w:sz w:val="24"/>
          <w:szCs w:val="24"/>
          <w:lang w:val="mn-MN"/>
        </w:rPr>
      </w:pPr>
      <w:r w:rsidRPr="009A33DE">
        <w:rPr>
          <w:rFonts w:ascii="Arial" w:hAnsi="Arial" w:cs="Arial"/>
          <w:sz w:val="24"/>
          <w:szCs w:val="24"/>
          <w:lang w:val="mn-MN"/>
        </w:rPr>
        <w:t xml:space="preserve"> </w:t>
      </w:r>
    </w:p>
    <w:p w:rsidR="006705B1" w:rsidRPr="009A33DE" w:rsidRDefault="00064A16" w:rsidP="00F42660">
      <w:pPr>
        <w:tabs>
          <w:tab w:val="left" w:pos="567"/>
        </w:tabs>
        <w:spacing w:after="0"/>
        <w:jc w:val="both"/>
        <w:rPr>
          <w:rFonts w:ascii="Arial" w:hAnsi="Arial" w:cs="Arial"/>
          <w:sz w:val="24"/>
          <w:szCs w:val="24"/>
          <w:lang w:val="mn-MN"/>
        </w:rPr>
      </w:pPr>
      <w:r w:rsidRPr="009A33DE">
        <w:rPr>
          <w:rFonts w:ascii="Arial" w:hAnsi="Arial" w:cs="Arial"/>
          <w:sz w:val="24"/>
          <w:szCs w:val="24"/>
          <w:lang w:val="mn-MN"/>
        </w:rPr>
        <w:tab/>
      </w:r>
      <w:r w:rsidR="00F42660" w:rsidRPr="00F42660">
        <w:rPr>
          <w:rFonts w:ascii="Arial" w:hAnsi="Arial" w:cs="Arial"/>
          <w:b/>
          <w:sz w:val="24"/>
          <w:szCs w:val="24"/>
          <w:lang w:val="mn-MN"/>
        </w:rPr>
        <w:t>Хоёр:</w:t>
      </w:r>
      <w:r w:rsidR="00F42660">
        <w:rPr>
          <w:rFonts w:ascii="Arial" w:hAnsi="Arial" w:cs="Arial"/>
          <w:sz w:val="24"/>
          <w:szCs w:val="24"/>
          <w:lang w:val="mn-MN"/>
        </w:rPr>
        <w:t xml:space="preserve"> </w:t>
      </w:r>
      <w:r w:rsidR="006705B1" w:rsidRPr="009A33DE">
        <w:rPr>
          <w:rFonts w:ascii="Arial" w:hAnsi="Arial" w:cs="Arial"/>
          <w:sz w:val="24"/>
          <w:szCs w:val="24"/>
          <w:lang w:val="mn-MN"/>
        </w:rPr>
        <w:t>Шалгалтын дүнг  хэлэлцсэнтэй холбогдуулан Үндэсний статистикийн хороонд  дараах чиглэлийг өгөх нь зүйтэй гэж үзэв. Үүнд:</w:t>
      </w:r>
    </w:p>
    <w:p w:rsidR="006705B1" w:rsidRPr="009A33DE" w:rsidRDefault="006705B1" w:rsidP="006705B1">
      <w:pPr>
        <w:spacing w:after="0" w:line="100" w:lineRule="atLeast"/>
        <w:ind w:firstLine="720"/>
        <w:jc w:val="both"/>
        <w:rPr>
          <w:rFonts w:ascii="Arial" w:hAnsi="Arial" w:cs="Arial"/>
          <w:sz w:val="24"/>
          <w:szCs w:val="24"/>
        </w:rPr>
      </w:pPr>
    </w:p>
    <w:p w:rsidR="006705B1" w:rsidRPr="009A33DE" w:rsidRDefault="006705B1" w:rsidP="006705B1">
      <w:pPr>
        <w:pStyle w:val="ListParagraph"/>
        <w:numPr>
          <w:ilvl w:val="0"/>
          <w:numId w:val="2"/>
        </w:numPr>
        <w:spacing w:after="0" w:line="240" w:lineRule="auto"/>
        <w:ind w:left="0" w:firstLine="360"/>
        <w:jc w:val="both"/>
        <w:rPr>
          <w:rFonts w:ascii="Arial" w:hAnsi="Arial" w:cs="Arial"/>
          <w:sz w:val="24"/>
          <w:szCs w:val="24"/>
          <w:lang w:val="mn-MN"/>
        </w:rPr>
      </w:pPr>
      <w:r w:rsidRPr="009A33DE">
        <w:rPr>
          <w:rFonts w:ascii="Arial" w:hAnsi="Arial" w:cs="Arial"/>
          <w:sz w:val="24"/>
          <w:szCs w:val="24"/>
          <w:lang w:val="mn-MN"/>
        </w:rPr>
        <w:t>Статистикийн үйл ажиллагаа, төсөв, санхүүгийн хараат бус, бие даасан байх зарчим бүрэн хэрэгжихгүй байгаад дүгнэлт хийж үйл ажиллагааны зарчмуудын хэрэгжилтийг эрчимжүүлэх</w:t>
      </w:r>
      <w:r w:rsidRPr="009A33DE">
        <w:rPr>
          <w:rFonts w:ascii="Arial" w:hAnsi="Arial" w:cs="Arial"/>
          <w:sz w:val="24"/>
          <w:szCs w:val="24"/>
        </w:rPr>
        <w:t>;</w:t>
      </w:r>
    </w:p>
    <w:p w:rsidR="006705B1" w:rsidRPr="009A33DE" w:rsidRDefault="006705B1" w:rsidP="006705B1">
      <w:pPr>
        <w:pStyle w:val="ListParagraph"/>
        <w:spacing w:after="0" w:line="240" w:lineRule="auto"/>
        <w:ind w:left="0" w:firstLine="360"/>
        <w:jc w:val="both"/>
        <w:rPr>
          <w:rFonts w:ascii="Arial" w:hAnsi="Arial" w:cs="Arial"/>
          <w:sz w:val="24"/>
          <w:szCs w:val="24"/>
          <w:lang w:val="mn-MN"/>
        </w:rPr>
      </w:pPr>
    </w:p>
    <w:p w:rsidR="006705B1" w:rsidRPr="009A33DE" w:rsidRDefault="006705B1" w:rsidP="006705B1">
      <w:pPr>
        <w:pStyle w:val="ListParagraph"/>
        <w:numPr>
          <w:ilvl w:val="0"/>
          <w:numId w:val="2"/>
        </w:numPr>
        <w:spacing w:after="0" w:line="240" w:lineRule="auto"/>
        <w:ind w:left="0" w:firstLine="360"/>
        <w:jc w:val="both"/>
        <w:rPr>
          <w:rFonts w:ascii="Arial" w:hAnsi="Arial" w:cs="Arial"/>
          <w:sz w:val="24"/>
          <w:szCs w:val="24"/>
          <w:lang w:val="mn-MN"/>
        </w:rPr>
      </w:pPr>
      <w:r w:rsidRPr="009A33DE">
        <w:rPr>
          <w:rFonts w:ascii="Arial" w:hAnsi="Arial" w:cs="Arial"/>
          <w:sz w:val="24"/>
          <w:szCs w:val="24"/>
          <w:lang w:val="mn-MN"/>
        </w:rPr>
        <w:t>Эдийн засаг, нийгмийн статистикийн арга зүй, аргачлалуудыг олон</w:t>
      </w:r>
      <w:r w:rsidRPr="009A33DE">
        <w:rPr>
          <w:rFonts w:ascii="Arial" w:hAnsi="Arial" w:cs="Arial"/>
          <w:sz w:val="24"/>
          <w:szCs w:val="24"/>
        </w:rPr>
        <w:t xml:space="preserve"> </w:t>
      </w:r>
      <w:r w:rsidRPr="009A33DE">
        <w:rPr>
          <w:rFonts w:ascii="Arial" w:hAnsi="Arial" w:cs="Arial"/>
          <w:sz w:val="24"/>
          <w:szCs w:val="24"/>
          <w:lang w:val="mn-MN"/>
        </w:rPr>
        <w:t>улсын ангилал, стандартын жишигт нийцүүлэн боловсруулж, шинэчлэн сайжруулж, мэдээлэл авах урсгал болон эх үүсвэрийг тодорхой болгож албан ёсны статистикийн мэдээллийн хамрах хүрээг нэмэгдүүлэх, энэ чиглэлд Үндэсний статистикийн хорооны эдрэгдэх зөвлөлийн оролцоог идэвхжүүлэх</w:t>
      </w:r>
      <w:r w:rsidRPr="009A33DE">
        <w:rPr>
          <w:rFonts w:ascii="Arial" w:hAnsi="Arial" w:cs="Arial"/>
          <w:sz w:val="24"/>
          <w:szCs w:val="24"/>
        </w:rPr>
        <w:t>;</w:t>
      </w:r>
    </w:p>
    <w:p w:rsidR="006705B1" w:rsidRPr="009A33DE" w:rsidRDefault="006705B1" w:rsidP="006705B1">
      <w:pPr>
        <w:pStyle w:val="ListParagraph"/>
        <w:spacing w:after="0" w:line="240" w:lineRule="auto"/>
        <w:ind w:left="0" w:firstLine="360"/>
        <w:jc w:val="both"/>
        <w:rPr>
          <w:rFonts w:ascii="Arial" w:hAnsi="Arial" w:cs="Arial"/>
          <w:sz w:val="24"/>
          <w:szCs w:val="24"/>
          <w:lang w:val="mn-MN"/>
        </w:rPr>
      </w:pPr>
    </w:p>
    <w:p w:rsidR="006705B1" w:rsidRPr="009A33DE" w:rsidRDefault="006705B1" w:rsidP="006705B1">
      <w:pPr>
        <w:numPr>
          <w:ilvl w:val="0"/>
          <w:numId w:val="2"/>
        </w:numPr>
        <w:spacing w:after="0" w:line="240" w:lineRule="auto"/>
        <w:ind w:left="0" w:firstLine="360"/>
        <w:jc w:val="both"/>
        <w:rPr>
          <w:rFonts w:ascii="Arial" w:hAnsi="Arial" w:cs="Arial"/>
          <w:bCs/>
          <w:sz w:val="24"/>
          <w:szCs w:val="24"/>
          <w:lang w:val="mn-MN"/>
        </w:rPr>
      </w:pPr>
      <w:r w:rsidRPr="009A33DE">
        <w:rPr>
          <w:rFonts w:ascii="Arial" w:hAnsi="Arial" w:cs="Arial"/>
          <w:bCs/>
          <w:sz w:val="24"/>
          <w:szCs w:val="24"/>
          <w:lang w:val="mn-MN"/>
        </w:rPr>
        <w:t>Салбарын яамдын статистикийн албаны үйл ажиллагааг сайжруулах арга хэмжээний талаар санал боловсруулж УИХ-д 2014 оны эхний хагас жилд багтаан оруулж ирэх</w:t>
      </w:r>
      <w:r w:rsidRPr="009A33DE">
        <w:rPr>
          <w:rFonts w:ascii="Arial" w:hAnsi="Arial" w:cs="Arial"/>
          <w:bCs/>
          <w:sz w:val="24"/>
          <w:szCs w:val="24"/>
        </w:rPr>
        <w:t>;</w:t>
      </w:r>
    </w:p>
    <w:p w:rsidR="006705B1" w:rsidRPr="009A33DE" w:rsidRDefault="006705B1" w:rsidP="006705B1">
      <w:pPr>
        <w:spacing w:after="0" w:line="240" w:lineRule="auto"/>
        <w:ind w:firstLine="360"/>
        <w:jc w:val="both"/>
        <w:rPr>
          <w:rFonts w:ascii="Arial" w:hAnsi="Arial" w:cs="Arial"/>
          <w:bCs/>
          <w:sz w:val="24"/>
          <w:szCs w:val="24"/>
          <w:lang w:val="mn-MN"/>
        </w:rPr>
      </w:pPr>
    </w:p>
    <w:p w:rsidR="006705B1" w:rsidRPr="009A33DE" w:rsidRDefault="006705B1" w:rsidP="006705B1">
      <w:pPr>
        <w:numPr>
          <w:ilvl w:val="0"/>
          <w:numId w:val="2"/>
        </w:numPr>
        <w:spacing w:after="0" w:line="240" w:lineRule="auto"/>
        <w:ind w:left="0" w:firstLine="360"/>
        <w:jc w:val="both"/>
        <w:rPr>
          <w:rFonts w:ascii="Arial" w:hAnsi="Arial" w:cs="Arial"/>
          <w:bCs/>
          <w:sz w:val="24"/>
          <w:szCs w:val="24"/>
          <w:lang w:val="mn-MN"/>
        </w:rPr>
      </w:pPr>
      <w:r w:rsidRPr="009A33DE">
        <w:rPr>
          <w:rFonts w:ascii="Arial" w:hAnsi="Arial" w:cs="Arial"/>
          <w:sz w:val="24"/>
          <w:szCs w:val="24"/>
          <w:lang w:val="mn-MN"/>
        </w:rPr>
        <w:t>Статистикийн мэдээллийн чанарыг сайжруулж үнэн бодит байдлыг хангах уг үйл ажиллагааг мэргэжлийн багаар гүйцэтгүүлэх, тэдний мэргэшил, ур чадварыг дээшлүүлэх, салбарын статистикийн үйл ажиллагааг</w:t>
      </w:r>
      <w:r w:rsidRPr="009A33DE">
        <w:rPr>
          <w:rFonts w:ascii="Arial" w:hAnsi="Arial" w:cs="Arial"/>
          <w:sz w:val="24"/>
          <w:szCs w:val="24"/>
        </w:rPr>
        <w:t xml:space="preserve"> </w:t>
      </w:r>
      <w:r w:rsidRPr="009A33DE">
        <w:rPr>
          <w:rFonts w:ascii="Arial" w:hAnsi="Arial" w:cs="Arial"/>
          <w:sz w:val="24"/>
          <w:szCs w:val="24"/>
          <w:lang w:val="mn-MN"/>
        </w:rPr>
        <w:t>сайжруулах</w:t>
      </w:r>
      <w:r w:rsidRPr="009A33DE">
        <w:rPr>
          <w:rFonts w:ascii="Arial" w:hAnsi="Arial" w:cs="Arial"/>
          <w:sz w:val="24"/>
          <w:szCs w:val="24"/>
        </w:rPr>
        <w:t xml:space="preserve"> </w:t>
      </w:r>
      <w:r w:rsidRPr="009A33DE">
        <w:rPr>
          <w:rFonts w:ascii="Arial" w:hAnsi="Arial" w:cs="Arial"/>
          <w:sz w:val="24"/>
          <w:szCs w:val="24"/>
          <w:lang w:val="mn-MN"/>
        </w:rPr>
        <w:t>үүднээс Статистикийн тухай хуулийн 11 дүгээр зүйлийн 2 дахь заалтыг хэрэгжүүлж,  сумдын Засаг даргын тамгын газарт статистикийн мэдээ, мэдээлэл хариуцсан ажилтаны ажил үүргийн зохицуулалт хийх санал боловсруулж шийдвэрлүүлэх</w:t>
      </w:r>
      <w:r w:rsidRPr="009A33DE">
        <w:rPr>
          <w:rFonts w:ascii="Arial" w:hAnsi="Arial" w:cs="Arial"/>
          <w:bCs/>
          <w:sz w:val="24"/>
          <w:szCs w:val="24"/>
        </w:rPr>
        <w:t>;</w:t>
      </w:r>
    </w:p>
    <w:p w:rsidR="006705B1" w:rsidRPr="009A33DE" w:rsidRDefault="006705B1" w:rsidP="006705B1">
      <w:pPr>
        <w:pStyle w:val="ListParagraph"/>
        <w:spacing w:after="0" w:line="240" w:lineRule="auto"/>
        <w:ind w:left="360"/>
        <w:jc w:val="both"/>
        <w:rPr>
          <w:rFonts w:ascii="Arial" w:hAnsi="Arial" w:cs="Arial"/>
          <w:sz w:val="24"/>
          <w:szCs w:val="24"/>
          <w:lang w:val="mn-MN"/>
        </w:rPr>
      </w:pPr>
    </w:p>
    <w:p w:rsidR="006705B1" w:rsidRPr="009A33DE" w:rsidRDefault="006705B1" w:rsidP="006705B1">
      <w:pPr>
        <w:pStyle w:val="ListParagraph"/>
        <w:numPr>
          <w:ilvl w:val="0"/>
          <w:numId w:val="2"/>
        </w:numPr>
        <w:spacing w:after="0" w:line="240" w:lineRule="auto"/>
        <w:ind w:left="0" w:firstLine="360"/>
        <w:jc w:val="both"/>
        <w:rPr>
          <w:rFonts w:ascii="Arial" w:hAnsi="Arial" w:cs="Arial"/>
          <w:sz w:val="24"/>
          <w:szCs w:val="24"/>
          <w:lang w:val="mn-MN"/>
        </w:rPr>
      </w:pPr>
      <w:r w:rsidRPr="009A33DE">
        <w:rPr>
          <w:rFonts w:ascii="Arial" w:hAnsi="Arial" w:cs="Arial"/>
          <w:sz w:val="24"/>
          <w:szCs w:val="24"/>
          <w:lang w:val="mn-MN"/>
        </w:rPr>
        <w:t>Ногоон өсөлт, хөгжлийг хэмжих, үндэсний тооцооны системтэй уялдуулах асуудлаар олон улсын туршлагыг судлан Монгол улсад хэрэгжүүлэх санал, үзүүлэлтийн системийг 2014 оны эхний хагас жилд багтаан УИХ-аар хэлэлцүүлэх</w:t>
      </w:r>
      <w:r w:rsidRPr="009A33DE">
        <w:rPr>
          <w:rFonts w:ascii="Arial" w:hAnsi="Arial" w:cs="Arial"/>
          <w:sz w:val="24"/>
          <w:szCs w:val="24"/>
        </w:rPr>
        <w:t>;</w:t>
      </w:r>
      <w:r w:rsidRPr="009A33DE">
        <w:rPr>
          <w:rFonts w:ascii="Arial" w:hAnsi="Arial" w:cs="Arial"/>
          <w:sz w:val="24"/>
          <w:szCs w:val="24"/>
          <w:lang w:val="mn-MN"/>
        </w:rPr>
        <w:t xml:space="preserve"> </w:t>
      </w:r>
    </w:p>
    <w:p w:rsidR="006705B1" w:rsidRPr="009A33DE" w:rsidRDefault="006705B1" w:rsidP="006705B1">
      <w:pPr>
        <w:pStyle w:val="ListParagraph"/>
        <w:spacing w:after="0" w:line="240" w:lineRule="auto"/>
        <w:ind w:left="360"/>
        <w:jc w:val="both"/>
        <w:rPr>
          <w:rFonts w:ascii="Arial" w:hAnsi="Arial" w:cs="Arial"/>
          <w:sz w:val="24"/>
          <w:szCs w:val="24"/>
          <w:lang w:val="mn-MN"/>
        </w:rPr>
      </w:pPr>
    </w:p>
    <w:p w:rsidR="006705B1" w:rsidRPr="009A33DE" w:rsidRDefault="006705B1" w:rsidP="006705B1">
      <w:pPr>
        <w:pStyle w:val="ListParagraph"/>
        <w:numPr>
          <w:ilvl w:val="0"/>
          <w:numId w:val="2"/>
        </w:numPr>
        <w:spacing w:after="0" w:line="240" w:lineRule="auto"/>
        <w:ind w:left="0" w:right="32" w:firstLine="426"/>
        <w:jc w:val="both"/>
        <w:rPr>
          <w:rFonts w:ascii="Arial" w:hAnsi="Arial" w:cs="Arial"/>
          <w:sz w:val="24"/>
          <w:szCs w:val="24"/>
          <w:lang w:val="mn-MN"/>
        </w:rPr>
      </w:pPr>
      <w:r w:rsidRPr="009A33DE">
        <w:rPr>
          <w:rFonts w:ascii="Arial" w:hAnsi="Arial" w:cs="Arial"/>
          <w:sz w:val="24"/>
          <w:szCs w:val="24"/>
          <w:lang w:val="mn-MN"/>
        </w:rPr>
        <w:t>Албан ёсны статистикийн үйл ажиллагааг явуулахад туслах, арга зүйн  нэгдмэл байдлыг хангах асуудлаар зөвлөх чиг үүрэгтэй Улсын Их Хурал, Засгийн газар, эрдэм шинжилгээний байгууллага болон хэрэглэгчийн  төлөөлөлтэй зөвлөлийн үйл ажиллагааг идэвхжүүлэх, зөвлөлийн эрх, үүргийг өргөтгөх чиглэлээр холбогдох хууль тогтоомжид өөрчлөлт оруулах</w:t>
      </w:r>
      <w:r w:rsidRPr="009A33DE">
        <w:rPr>
          <w:rFonts w:ascii="Arial" w:hAnsi="Arial" w:cs="Arial"/>
          <w:sz w:val="24"/>
          <w:szCs w:val="24"/>
        </w:rPr>
        <w:t>;</w:t>
      </w:r>
    </w:p>
    <w:p w:rsidR="006705B1" w:rsidRPr="009A33DE" w:rsidRDefault="006705B1" w:rsidP="006705B1">
      <w:pPr>
        <w:spacing w:after="0" w:line="100" w:lineRule="atLeast"/>
        <w:ind w:firstLine="720"/>
        <w:jc w:val="both"/>
        <w:rPr>
          <w:rFonts w:ascii="Arial" w:hAnsi="Arial" w:cs="Arial"/>
          <w:sz w:val="24"/>
          <w:szCs w:val="24"/>
          <w:lang w:val="mn-MN"/>
        </w:rPr>
      </w:pPr>
    </w:p>
    <w:p w:rsidR="006705B1" w:rsidRPr="009A33DE" w:rsidRDefault="00F42660" w:rsidP="006705B1">
      <w:pPr>
        <w:spacing w:after="0" w:line="100" w:lineRule="atLeast"/>
        <w:ind w:firstLine="720"/>
        <w:jc w:val="both"/>
        <w:rPr>
          <w:rFonts w:ascii="Arial" w:hAnsi="Arial" w:cs="Arial"/>
          <w:sz w:val="24"/>
          <w:szCs w:val="24"/>
          <w:lang w:val="mn-MN"/>
        </w:rPr>
      </w:pPr>
      <w:r>
        <w:rPr>
          <w:rFonts w:ascii="Arial" w:hAnsi="Arial" w:cs="Arial"/>
          <w:b/>
          <w:sz w:val="24"/>
          <w:szCs w:val="24"/>
          <w:lang w:val="mn-MN"/>
        </w:rPr>
        <w:lastRenderedPageBreak/>
        <w:t>Гурав:</w:t>
      </w:r>
      <w:r w:rsidR="006705B1" w:rsidRPr="009A33DE">
        <w:rPr>
          <w:rFonts w:ascii="Arial" w:hAnsi="Arial" w:cs="Arial"/>
          <w:b/>
          <w:sz w:val="24"/>
          <w:szCs w:val="24"/>
          <w:lang w:val="mn-MN"/>
        </w:rPr>
        <w:t xml:space="preserve"> </w:t>
      </w:r>
      <w:r w:rsidR="006705B1" w:rsidRPr="009A33DE">
        <w:rPr>
          <w:rFonts w:ascii="Arial" w:hAnsi="Arial" w:cs="Arial"/>
          <w:sz w:val="24"/>
          <w:szCs w:val="24"/>
          <w:lang w:val="mn-MN"/>
        </w:rPr>
        <w:t>Шалгалтын дүнг хэлэлцсэнтэй холбогдуулан Санхүүгийн зохицуулах хороонд  дараах чиглэлийг өгөх нь зүйтэй гэж үзэв. Үүнд:</w:t>
      </w:r>
    </w:p>
    <w:p w:rsidR="006705B1" w:rsidRPr="009A33DE" w:rsidRDefault="006705B1" w:rsidP="006705B1">
      <w:pPr>
        <w:spacing w:after="0" w:line="100" w:lineRule="atLeast"/>
        <w:ind w:firstLine="720"/>
        <w:jc w:val="both"/>
        <w:rPr>
          <w:rFonts w:ascii="Arial" w:hAnsi="Arial" w:cs="Arial"/>
          <w:sz w:val="24"/>
          <w:szCs w:val="24"/>
        </w:rPr>
      </w:pPr>
    </w:p>
    <w:p w:rsidR="006705B1" w:rsidRPr="009A33DE" w:rsidRDefault="006705B1" w:rsidP="006705B1">
      <w:pPr>
        <w:pStyle w:val="ListParagraph"/>
        <w:numPr>
          <w:ilvl w:val="0"/>
          <w:numId w:val="3"/>
        </w:numPr>
        <w:spacing w:after="0" w:line="240" w:lineRule="auto"/>
        <w:ind w:left="0" w:right="32" w:firstLine="360"/>
        <w:jc w:val="both"/>
        <w:rPr>
          <w:rFonts w:ascii="Arial" w:hAnsi="Arial" w:cs="Arial"/>
          <w:sz w:val="24"/>
          <w:szCs w:val="24"/>
          <w:lang w:val="mn-MN"/>
        </w:rPr>
      </w:pPr>
      <w:r w:rsidRPr="009A33DE">
        <w:rPr>
          <w:rFonts w:ascii="Arial" w:eastAsia="Arial" w:hAnsi="Arial" w:cs="Arial"/>
          <w:sz w:val="24"/>
          <w:szCs w:val="24"/>
          <w:lang w:val="mn-MN"/>
        </w:rPr>
        <w:t xml:space="preserve">Санхүүгийн зах зээлийн оролцогчид, тэдгээрийн төлөөлөлтэй Хорооны зүгээс хамтран ажиллах механизмийг шинэчлэн сайжруулах, төр хувийн хэвшлийн түншлэлийн үр өгөөжтэй бөгөөд шийдвэр гаргах үйл явцад бодитой оролцох оролцоог нь хангасан хэлбрийг бий болгон хөгжүүлэх, </w:t>
      </w:r>
    </w:p>
    <w:p w:rsidR="006705B1" w:rsidRPr="009A33DE" w:rsidRDefault="006705B1" w:rsidP="006705B1">
      <w:pPr>
        <w:pStyle w:val="ListParagraph"/>
        <w:spacing w:after="0" w:line="240" w:lineRule="auto"/>
        <w:ind w:left="360" w:right="32"/>
        <w:jc w:val="both"/>
        <w:rPr>
          <w:rFonts w:ascii="Arial" w:hAnsi="Arial" w:cs="Arial"/>
          <w:sz w:val="24"/>
          <w:szCs w:val="24"/>
          <w:lang w:val="mn-MN"/>
        </w:rPr>
      </w:pPr>
    </w:p>
    <w:p w:rsidR="006705B1" w:rsidRPr="009A33DE" w:rsidRDefault="006705B1" w:rsidP="006705B1">
      <w:pPr>
        <w:pStyle w:val="ListParagraph"/>
        <w:numPr>
          <w:ilvl w:val="0"/>
          <w:numId w:val="3"/>
        </w:numPr>
        <w:spacing w:after="0" w:line="240" w:lineRule="auto"/>
        <w:ind w:left="0" w:right="32" w:firstLine="360"/>
        <w:jc w:val="both"/>
        <w:rPr>
          <w:rFonts w:ascii="Arial" w:hAnsi="Arial" w:cs="Arial"/>
          <w:sz w:val="24"/>
          <w:szCs w:val="24"/>
          <w:lang w:val="mn-MN"/>
        </w:rPr>
      </w:pPr>
      <w:r w:rsidRPr="009A33DE">
        <w:rPr>
          <w:rFonts w:ascii="Arial" w:eastAsia="Arial" w:hAnsi="Arial" w:cs="Arial"/>
          <w:sz w:val="24"/>
          <w:szCs w:val="24"/>
          <w:lang w:val="mn-MN"/>
        </w:rPr>
        <w:t>Санхүүгийн секторын шинэтгэлийг эрчимтэй үргэлжлүүлэх чиглэлээрх Хорооны санаачлагыг нэмэгдүүлэх, санхүүгийн зах зээлд үүссэн 95:5 гэсэн зохистой бус харьцааг өөрчлөх талаар Санхүүгийн тогтвортой байдлын зөвлөлийн үйл ажиллагаанд Хорооны оролцоог идэвхжүүлэх,</w:t>
      </w:r>
    </w:p>
    <w:p w:rsidR="006705B1" w:rsidRPr="009A33DE" w:rsidRDefault="006705B1" w:rsidP="006705B1">
      <w:pPr>
        <w:pStyle w:val="ListParagraph"/>
        <w:spacing w:after="0" w:line="240" w:lineRule="auto"/>
        <w:ind w:left="360" w:right="32"/>
        <w:jc w:val="both"/>
        <w:rPr>
          <w:rFonts w:ascii="Arial" w:hAnsi="Arial" w:cs="Arial"/>
          <w:sz w:val="24"/>
          <w:szCs w:val="24"/>
          <w:lang w:val="mn-MN"/>
        </w:rPr>
      </w:pPr>
    </w:p>
    <w:p w:rsidR="006705B1" w:rsidRPr="009A33DE" w:rsidRDefault="006705B1" w:rsidP="006705B1">
      <w:pPr>
        <w:pStyle w:val="ListParagraph"/>
        <w:numPr>
          <w:ilvl w:val="0"/>
          <w:numId w:val="3"/>
        </w:numPr>
        <w:spacing w:after="0" w:line="240" w:lineRule="auto"/>
        <w:ind w:left="0" w:right="32" w:firstLine="360"/>
        <w:jc w:val="both"/>
        <w:rPr>
          <w:rFonts w:ascii="Arial" w:hAnsi="Arial" w:cs="Arial"/>
          <w:sz w:val="24"/>
          <w:szCs w:val="24"/>
          <w:lang w:val="mn-MN"/>
        </w:rPr>
      </w:pPr>
      <w:r w:rsidRPr="009A33DE">
        <w:rPr>
          <w:rFonts w:ascii="Arial" w:eastAsia="Arial" w:hAnsi="Arial" w:cs="Arial"/>
          <w:sz w:val="24"/>
          <w:szCs w:val="24"/>
          <w:lang w:val="mn-MN"/>
        </w:rPr>
        <w:t xml:space="preserve">  </w:t>
      </w:r>
      <w:proofErr w:type="spellStart"/>
      <w:r w:rsidRPr="009A33DE">
        <w:rPr>
          <w:rFonts w:ascii="Arial" w:eastAsia="Arial" w:hAnsi="Arial" w:cs="Arial"/>
          <w:sz w:val="24"/>
          <w:szCs w:val="24"/>
        </w:rPr>
        <w:t>Х</w:t>
      </w:r>
      <w:r w:rsidRPr="009A33DE">
        <w:rPr>
          <w:rFonts w:ascii="Arial" w:eastAsia="Arial" w:hAnsi="Arial" w:cs="Arial"/>
          <w:spacing w:val="-2"/>
          <w:sz w:val="24"/>
          <w:szCs w:val="24"/>
        </w:rPr>
        <w:t>у</w:t>
      </w:r>
      <w:r w:rsidRPr="009A33DE">
        <w:rPr>
          <w:rFonts w:ascii="Arial" w:eastAsia="Arial" w:hAnsi="Arial" w:cs="Arial"/>
          <w:sz w:val="24"/>
          <w:szCs w:val="24"/>
        </w:rPr>
        <w:t>вь</w:t>
      </w:r>
      <w:r w:rsidRPr="009A33DE">
        <w:rPr>
          <w:rFonts w:ascii="Arial" w:eastAsia="Arial" w:hAnsi="Arial" w:cs="Arial"/>
          <w:spacing w:val="-1"/>
          <w:sz w:val="24"/>
          <w:szCs w:val="24"/>
        </w:rPr>
        <w:t>ц</w:t>
      </w:r>
      <w:r w:rsidRPr="009A33DE">
        <w:rPr>
          <w:rFonts w:ascii="Arial" w:eastAsia="Arial" w:hAnsi="Arial" w:cs="Arial"/>
          <w:spacing w:val="1"/>
          <w:sz w:val="24"/>
          <w:szCs w:val="24"/>
        </w:rPr>
        <w:t>аа</w:t>
      </w:r>
      <w:r w:rsidRPr="009A33DE">
        <w:rPr>
          <w:rFonts w:ascii="Arial" w:eastAsia="Arial" w:hAnsi="Arial" w:cs="Arial"/>
          <w:sz w:val="24"/>
          <w:szCs w:val="24"/>
        </w:rPr>
        <w:t>ны</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2"/>
          <w:sz w:val="24"/>
          <w:szCs w:val="24"/>
        </w:rPr>
        <w:t>х</w:t>
      </w:r>
      <w:r w:rsidRPr="009A33DE">
        <w:rPr>
          <w:rFonts w:ascii="Arial" w:eastAsia="Arial" w:hAnsi="Arial" w:cs="Arial"/>
          <w:sz w:val="24"/>
          <w:szCs w:val="24"/>
        </w:rPr>
        <w:t>эт</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т</w:t>
      </w:r>
      <w:r w:rsidRPr="009A33DE">
        <w:rPr>
          <w:rFonts w:ascii="Arial" w:eastAsia="Arial" w:hAnsi="Arial" w:cs="Arial"/>
          <w:spacing w:val="1"/>
          <w:sz w:val="24"/>
          <w:szCs w:val="24"/>
        </w:rPr>
        <w:t>ө</w:t>
      </w:r>
      <w:r w:rsidRPr="009A33DE">
        <w:rPr>
          <w:rFonts w:ascii="Arial" w:eastAsia="Arial" w:hAnsi="Arial" w:cs="Arial"/>
          <w:sz w:val="24"/>
          <w:szCs w:val="24"/>
        </w:rPr>
        <w:t>в</w:t>
      </w:r>
      <w:r w:rsidRPr="009A33DE">
        <w:rPr>
          <w:rFonts w:ascii="Arial" w:eastAsia="Arial" w:hAnsi="Arial" w:cs="Arial"/>
          <w:spacing w:val="-1"/>
          <w:sz w:val="24"/>
          <w:szCs w:val="24"/>
        </w:rPr>
        <w:t>л</w:t>
      </w:r>
      <w:r w:rsidRPr="009A33DE">
        <w:rPr>
          <w:rFonts w:ascii="Arial" w:eastAsia="Arial" w:hAnsi="Arial" w:cs="Arial"/>
          <w:spacing w:val="1"/>
          <w:sz w:val="24"/>
          <w:szCs w:val="24"/>
        </w:rPr>
        <w:t>өрө</w:t>
      </w:r>
      <w:r w:rsidRPr="009A33DE">
        <w:rPr>
          <w:rFonts w:ascii="Arial" w:eastAsia="Arial" w:hAnsi="Arial" w:cs="Arial"/>
          <w:sz w:val="24"/>
          <w:szCs w:val="24"/>
        </w:rPr>
        <w:t>л</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ява</w:t>
      </w:r>
      <w:r w:rsidRPr="009A33DE">
        <w:rPr>
          <w:rFonts w:ascii="Arial" w:eastAsia="Arial" w:hAnsi="Arial" w:cs="Arial"/>
          <w:spacing w:val="-1"/>
          <w:sz w:val="24"/>
          <w:szCs w:val="24"/>
        </w:rPr>
        <w:t>гд</w:t>
      </w:r>
      <w:r w:rsidRPr="009A33DE">
        <w:rPr>
          <w:rFonts w:ascii="Arial" w:eastAsia="Arial" w:hAnsi="Arial" w:cs="Arial"/>
          <w:sz w:val="24"/>
          <w:szCs w:val="24"/>
        </w:rPr>
        <w:t>с</w:t>
      </w:r>
      <w:r w:rsidRPr="009A33DE">
        <w:rPr>
          <w:rFonts w:ascii="Arial" w:eastAsia="Arial" w:hAnsi="Arial" w:cs="Arial"/>
          <w:spacing w:val="1"/>
          <w:sz w:val="24"/>
          <w:szCs w:val="24"/>
        </w:rPr>
        <w:t>а</w:t>
      </w:r>
      <w:r w:rsidRPr="009A33DE">
        <w:rPr>
          <w:rFonts w:ascii="Arial" w:eastAsia="Arial" w:hAnsi="Arial" w:cs="Arial"/>
          <w:sz w:val="24"/>
          <w:szCs w:val="24"/>
        </w:rPr>
        <w:t>н</w:t>
      </w:r>
      <w:proofErr w:type="spellEnd"/>
      <w:r w:rsidRPr="009A33DE">
        <w:rPr>
          <w:rFonts w:ascii="Arial" w:eastAsia="Arial" w:hAnsi="Arial" w:cs="Arial"/>
          <w:sz w:val="24"/>
          <w:szCs w:val="24"/>
        </w:rPr>
        <w:t xml:space="preserve">, </w:t>
      </w:r>
      <w:r w:rsidRPr="009A33DE">
        <w:rPr>
          <w:rFonts w:ascii="Arial" w:eastAsia="Arial" w:hAnsi="Arial" w:cs="Arial"/>
          <w:spacing w:val="-2"/>
          <w:sz w:val="24"/>
          <w:szCs w:val="24"/>
          <w:lang w:val="mn-MN"/>
        </w:rPr>
        <w:t>Х</w:t>
      </w:r>
      <w:proofErr w:type="spellStart"/>
      <w:r w:rsidRPr="009A33DE">
        <w:rPr>
          <w:rFonts w:ascii="Arial" w:eastAsia="Arial" w:hAnsi="Arial" w:cs="Arial"/>
          <w:spacing w:val="1"/>
          <w:sz w:val="24"/>
          <w:szCs w:val="24"/>
        </w:rPr>
        <w:t>өрө</w:t>
      </w:r>
      <w:r w:rsidRPr="009A33DE">
        <w:rPr>
          <w:rFonts w:ascii="Arial" w:eastAsia="Arial" w:hAnsi="Arial" w:cs="Arial"/>
          <w:sz w:val="24"/>
          <w:szCs w:val="24"/>
        </w:rPr>
        <w:t>нгийн</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1"/>
          <w:sz w:val="24"/>
          <w:szCs w:val="24"/>
        </w:rPr>
        <w:t>б</w:t>
      </w:r>
      <w:r w:rsidRPr="009A33DE">
        <w:rPr>
          <w:rFonts w:ascii="Arial" w:eastAsia="Arial" w:hAnsi="Arial" w:cs="Arial"/>
          <w:sz w:val="24"/>
          <w:szCs w:val="24"/>
        </w:rPr>
        <w:t>и</w:t>
      </w:r>
      <w:r w:rsidRPr="009A33DE">
        <w:rPr>
          <w:rFonts w:ascii="Arial" w:eastAsia="Arial" w:hAnsi="Arial" w:cs="Arial"/>
          <w:spacing w:val="1"/>
          <w:sz w:val="24"/>
          <w:szCs w:val="24"/>
        </w:rPr>
        <w:t>р</w:t>
      </w:r>
      <w:r w:rsidRPr="009A33DE">
        <w:rPr>
          <w:rFonts w:ascii="Arial" w:eastAsia="Arial" w:hAnsi="Arial" w:cs="Arial"/>
          <w:sz w:val="24"/>
          <w:szCs w:val="24"/>
        </w:rPr>
        <w:t>ж</w:t>
      </w:r>
      <w:proofErr w:type="spellEnd"/>
      <w:r w:rsidRPr="009A33DE">
        <w:rPr>
          <w:rFonts w:ascii="Arial" w:eastAsia="Arial" w:hAnsi="Arial" w:cs="Arial"/>
          <w:sz w:val="24"/>
          <w:szCs w:val="24"/>
          <w:lang w:val="mn-MN"/>
        </w:rPr>
        <w:t>и</w:t>
      </w:r>
      <w:r w:rsidRPr="009A33DE">
        <w:rPr>
          <w:rFonts w:ascii="Arial" w:eastAsia="Arial" w:hAnsi="Arial" w:cs="Arial"/>
          <w:sz w:val="24"/>
          <w:szCs w:val="24"/>
        </w:rPr>
        <w:t xml:space="preserve">д </w:t>
      </w:r>
      <w:proofErr w:type="spellStart"/>
      <w:r w:rsidRPr="009A33DE">
        <w:rPr>
          <w:rFonts w:ascii="Arial" w:eastAsia="Arial" w:hAnsi="Arial" w:cs="Arial"/>
          <w:spacing w:val="-1"/>
          <w:sz w:val="24"/>
          <w:szCs w:val="24"/>
        </w:rPr>
        <w:t>б</w:t>
      </w:r>
      <w:r w:rsidRPr="009A33DE">
        <w:rPr>
          <w:rFonts w:ascii="Arial" w:eastAsia="Arial" w:hAnsi="Arial" w:cs="Arial"/>
          <w:sz w:val="24"/>
          <w:szCs w:val="24"/>
        </w:rPr>
        <w:t>ү</w:t>
      </w:r>
      <w:r w:rsidRPr="009A33DE">
        <w:rPr>
          <w:rFonts w:ascii="Arial" w:eastAsia="Arial" w:hAnsi="Arial" w:cs="Arial"/>
          <w:spacing w:val="1"/>
          <w:sz w:val="24"/>
          <w:szCs w:val="24"/>
        </w:rPr>
        <w:t>р</w:t>
      </w:r>
      <w:r w:rsidRPr="009A33DE">
        <w:rPr>
          <w:rFonts w:ascii="Arial" w:eastAsia="Arial" w:hAnsi="Arial" w:cs="Arial"/>
          <w:sz w:val="24"/>
          <w:szCs w:val="24"/>
        </w:rPr>
        <w:t>тгэ</w:t>
      </w:r>
      <w:r w:rsidRPr="009A33DE">
        <w:rPr>
          <w:rFonts w:ascii="Arial" w:eastAsia="Arial" w:hAnsi="Arial" w:cs="Arial"/>
          <w:spacing w:val="-1"/>
          <w:sz w:val="24"/>
          <w:szCs w:val="24"/>
        </w:rPr>
        <w:t>л</w:t>
      </w:r>
      <w:r w:rsidRPr="009A33DE">
        <w:rPr>
          <w:rFonts w:ascii="Arial" w:eastAsia="Arial" w:hAnsi="Arial" w:cs="Arial"/>
          <w:spacing w:val="3"/>
          <w:sz w:val="24"/>
          <w:szCs w:val="24"/>
        </w:rPr>
        <w:t>т</w:t>
      </w:r>
      <w:r w:rsidRPr="009A33DE">
        <w:rPr>
          <w:rFonts w:ascii="Arial" w:eastAsia="Arial" w:hAnsi="Arial" w:cs="Arial"/>
          <w:sz w:val="24"/>
          <w:szCs w:val="24"/>
        </w:rPr>
        <w:t>эй</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к</w:t>
      </w:r>
      <w:r w:rsidRPr="009A33DE">
        <w:rPr>
          <w:rFonts w:ascii="Arial" w:eastAsia="Arial" w:hAnsi="Arial" w:cs="Arial"/>
          <w:spacing w:val="1"/>
          <w:sz w:val="24"/>
          <w:szCs w:val="24"/>
        </w:rPr>
        <w:t>о</w:t>
      </w:r>
      <w:r w:rsidRPr="009A33DE">
        <w:rPr>
          <w:rFonts w:ascii="Arial" w:eastAsia="Arial" w:hAnsi="Arial" w:cs="Arial"/>
          <w:sz w:val="24"/>
          <w:szCs w:val="24"/>
        </w:rPr>
        <w:t>мп</w:t>
      </w:r>
      <w:r w:rsidRPr="009A33DE">
        <w:rPr>
          <w:rFonts w:ascii="Arial" w:eastAsia="Arial" w:hAnsi="Arial" w:cs="Arial"/>
          <w:spacing w:val="1"/>
          <w:sz w:val="24"/>
          <w:szCs w:val="24"/>
        </w:rPr>
        <w:t>а</w:t>
      </w:r>
      <w:r w:rsidRPr="009A33DE">
        <w:rPr>
          <w:rFonts w:ascii="Arial" w:eastAsia="Arial" w:hAnsi="Arial" w:cs="Arial"/>
          <w:sz w:val="24"/>
          <w:szCs w:val="24"/>
        </w:rPr>
        <w:t>ни</w:t>
      </w:r>
      <w:r w:rsidRPr="009A33DE">
        <w:rPr>
          <w:rFonts w:ascii="Arial" w:eastAsia="Arial" w:hAnsi="Arial" w:cs="Arial"/>
          <w:spacing w:val="-3"/>
          <w:sz w:val="24"/>
          <w:szCs w:val="24"/>
        </w:rPr>
        <w:t>у</w:t>
      </w:r>
      <w:r w:rsidRPr="009A33DE">
        <w:rPr>
          <w:rFonts w:ascii="Arial" w:eastAsia="Arial" w:hAnsi="Arial" w:cs="Arial"/>
          <w:sz w:val="24"/>
          <w:szCs w:val="24"/>
        </w:rPr>
        <w:t>д</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нь</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жин</w:t>
      </w:r>
      <w:r w:rsidRPr="009A33DE">
        <w:rPr>
          <w:rFonts w:ascii="Arial" w:eastAsia="Arial" w:hAnsi="Arial" w:cs="Arial"/>
          <w:spacing w:val="-2"/>
          <w:sz w:val="24"/>
          <w:szCs w:val="24"/>
        </w:rPr>
        <w:t>х</w:t>
      </w:r>
      <w:r w:rsidRPr="009A33DE">
        <w:rPr>
          <w:rFonts w:ascii="Arial" w:eastAsia="Arial" w:hAnsi="Arial" w:cs="Arial"/>
          <w:sz w:val="24"/>
          <w:szCs w:val="24"/>
        </w:rPr>
        <w:t>энэ</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2"/>
          <w:sz w:val="24"/>
          <w:szCs w:val="24"/>
        </w:rPr>
        <w:t>у</w:t>
      </w:r>
      <w:r w:rsidRPr="009A33DE">
        <w:rPr>
          <w:rFonts w:ascii="Arial" w:eastAsia="Arial" w:hAnsi="Arial" w:cs="Arial"/>
          <w:sz w:val="24"/>
          <w:szCs w:val="24"/>
        </w:rPr>
        <w:t>тга</w:t>
      </w:r>
      <w:r w:rsidRPr="009A33DE">
        <w:rPr>
          <w:rFonts w:ascii="Arial" w:eastAsia="Arial" w:hAnsi="Arial" w:cs="Arial"/>
          <w:spacing w:val="1"/>
          <w:sz w:val="24"/>
          <w:szCs w:val="24"/>
        </w:rPr>
        <w:t>ара</w:t>
      </w:r>
      <w:r w:rsidRPr="009A33DE">
        <w:rPr>
          <w:rFonts w:ascii="Arial" w:eastAsia="Arial" w:hAnsi="Arial" w:cs="Arial"/>
          <w:sz w:val="24"/>
          <w:szCs w:val="24"/>
        </w:rPr>
        <w:t>а</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2"/>
          <w:sz w:val="24"/>
          <w:szCs w:val="24"/>
        </w:rPr>
        <w:t>х</w:t>
      </w:r>
      <w:r w:rsidRPr="009A33DE">
        <w:rPr>
          <w:rFonts w:ascii="Arial" w:eastAsia="Arial" w:hAnsi="Arial" w:cs="Arial"/>
          <w:sz w:val="24"/>
          <w:szCs w:val="24"/>
        </w:rPr>
        <w:t>увь</w:t>
      </w:r>
      <w:r w:rsidRPr="009A33DE">
        <w:rPr>
          <w:rFonts w:ascii="Arial" w:eastAsia="Arial" w:hAnsi="Arial" w:cs="Arial"/>
          <w:spacing w:val="-1"/>
          <w:sz w:val="24"/>
          <w:szCs w:val="24"/>
        </w:rPr>
        <w:t>ц</w:t>
      </w:r>
      <w:r w:rsidRPr="009A33DE">
        <w:rPr>
          <w:rFonts w:ascii="Arial" w:eastAsia="Arial" w:hAnsi="Arial" w:cs="Arial"/>
          <w:spacing w:val="1"/>
          <w:sz w:val="24"/>
          <w:szCs w:val="24"/>
        </w:rPr>
        <w:t>аа</w:t>
      </w:r>
      <w:r w:rsidRPr="009A33DE">
        <w:rPr>
          <w:rFonts w:ascii="Arial" w:eastAsia="Arial" w:hAnsi="Arial" w:cs="Arial"/>
          <w:sz w:val="24"/>
          <w:szCs w:val="24"/>
        </w:rPr>
        <w:t>т</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к</w:t>
      </w:r>
      <w:r w:rsidRPr="009A33DE">
        <w:rPr>
          <w:rFonts w:ascii="Arial" w:eastAsia="Arial" w:hAnsi="Arial" w:cs="Arial"/>
          <w:spacing w:val="1"/>
          <w:sz w:val="24"/>
          <w:szCs w:val="24"/>
        </w:rPr>
        <w:t>о</w:t>
      </w:r>
      <w:r w:rsidRPr="009A33DE">
        <w:rPr>
          <w:rFonts w:ascii="Arial" w:eastAsia="Arial" w:hAnsi="Arial" w:cs="Arial"/>
          <w:sz w:val="24"/>
          <w:szCs w:val="24"/>
        </w:rPr>
        <w:t>м</w:t>
      </w:r>
      <w:r w:rsidRPr="009A33DE">
        <w:rPr>
          <w:rFonts w:ascii="Arial" w:eastAsia="Arial" w:hAnsi="Arial" w:cs="Arial"/>
          <w:spacing w:val="-2"/>
          <w:sz w:val="24"/>
          <w:szCs w:val="24"/>
        </w:rPr>
        <w:t>п</w:t>
      </w:r>
      <w:r w:rsidRPr="009A33DE">
        <w:rPr>
          <w:rFonts w:ascii="Arial" w:eastAsia="Arial" w:hAnsi="Arial" w:cs="Arial"/>
          <w:spacing w:val="1"/>
          <w:sz w:val="24"/>
          <w:szCs w:val="24"/>
        </w:rPr>
        <w:t>а</w:t>
      </w:r>
      <w:r w:rsidRPr="009A33DE">
        <w:rPr>
          <w:rFonts w:ascii="Arial" w:eastAsia="Arial" w:hAnsi="Arial" w:cs="Arial"/>
          <w:sz w:val="24"/>
          <w:szCs w:val="24"/>
        </w:rPr>
        <w:t>ни</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1"/>
          <w:sz w:val="24"/>
          <w:szCs w:val="24"/>
        </w:rPr>
        <w:t>б</w:t>
      </w:r>
      <w:r w:rsidRPr="009A33DE">
        <w:rPr>
          <w:rFonts w:ascii="Arial" w:eastAsia="Arial" w:hAnsi="Arial" w:cs="Arial"/>
          <w:spacing w:val="1"/>
          <w:sz w:val="24"/>
          <w:szCs w:val="24"/>
        </w:rPr>
        <w:t>о</w:t>
      </w:r>
      <w:r w:rsidRPr="009A33DE">
        <w:rPr>
          <w:rFonts w:ascii="Arial" w:eastAsia="Arial" w:hAnsi="Arial" w:cs="Arial"/>
          <w:spacing w:val="-1"/>
          <w:sz w:val="24"/>
          <w:szCs w:val="24"/>
        </w:rPr>
        <w:t>л</w:t>
      </w:r>
      <w:r w:rsidRPr="009A33DE">
        <w:rPr>
          <w:rFonts w:ascii="Arial" w:eastAsia="Arial" w:hAnsi="Arial" w:cs="Arial"/>
          <w:sz w:val="24"/>
          <w:szCs w:val="24"/>
        </w:rPr>
        <w:t>ж</w:t>
      </w:r>
      <w:proofErr w:type="spellEnd"/>
      <w:r w:rsidRPr="009A33DE">
        <w:rPr>
          <w:rFonts w:ascii="Arial" w:eastAsia="Arial" w:hAnsi="Arial" w:cs="Arial"/>
          <w:spacing w:val="1"/>
          <w:sz w:val="24"/>
          <w:szCs w:val="24"/>
        </w:rPr>
        <w:t xml:space="preserve"> </w:t>
      </w:r>
      <w:proofErr w:type="spellStart"/>
      <w:r w:rsidRPr="009A33DE">
        <w:rPr>
          <w:rFonts w:ascii="Arial" w:eastAsia="Arial" w:hAnsi="Arial" w:cs="Arial"/>
          <w:spacing w:val="1"/>
          <w:sz w:val="24"/>
          <w:szCs w:val="24"/>
        </w:rPr>
        <w:t>а</w:t>
      </w:r>
      <w:r w:rsidRPr="009A33DE">
        <w:rPr>
          <w:rFonts w:ascii="Arial" w:eastAsia="Arial" w:hAnsi="Arial" w:cs="Arial"/>
          <w:sz w:val="24"/>
          <w:szCs w:val="24"/>
        </w:rPr>
        <w:t>жил</w:t>
      </w:r>
      <w:r w:rsidRPr="009A33DE">
        <w:rPr>
          <w:rFonts w:ascii="Arial" w:eastAsia="Arial" w:hAnsi="Arial" w:cs="Arial"/>
          <w:spacing w:val="-1"/>
          <w:sz w:val="24"/>
          <w:szCs w:val="24"/>
        </w:rPr>
        <w:t>л</w:t>
      </w:r>
      <w:r w:rsidRPr="009A33DE">
        <w:rPr>
          <w:rFonts w:ascii="Arial" w:eastAsia="Arial" w:hAnsi="Arial" w:cs="Arial"/>
          <w:spacing w:val="1"/>
          <w:sz w:val="24"/>
          <w:szCs w:val="24"/>
        </w:rPr>
        <w:t>а</w:t>
      </w:r>
      <w:r w:rsidRPr="009A33DE">
        <w:rPr>
          <w:rFonts w:ascii="Arial" w:eastAsia="Arial" w:hAnsi="Arial" w:cs="Arial"/>
          <w:sz w:val="24"/>
          <w:szCs w:val="24"/>
        </w:rPr>
        <w:t>ж</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чад</w:t>
      </w:r>
      <w:r w:rsidRPr="009A33DE">
        <w:rPr>
          <w:rFonts w:ascii="Arial" w:eastAsia="Arial" w:hAnsi="Arial" w:cs="Arial"/>
          <w:spacing w:val="1"/>
          <w:sz w:val="24"/>
          <w:szCs w:val="24"/>
        </w:rPr>
        <w:t>аа</w:t>
      </w:r>
      <w:r w:rsidRPr="009A33DE">
        <w:rPr>
          <w:rFonts w:ascii="Arial" w:eastAsia="Arial" w:hAnsi="Arial" w:cs="Arial"/>
          <w:spacing w:val="-1"/>
          <w:sz w:val="24"/>
          <w:szCs w:val="24"/>
        </w:rPr>
        <w:t>г</w:t>
      </w:r>
      <w:r w:rsidRPr="009A33DE">
        <w:rPr>
          <w:rFonts w:ascii="Arial" w:eastAsia="Arial" w:hAnsi="Arial" w:cs="Arial"/>
          <w:sz w:val="24"/>
          <w:szCs w:val="24"/>
        </w:rPr>
        <w:t>ү</w:t>
      </w:r>
      <w:r w:rsidRPr="009A33DE">
        <w:rPr>
          <w:rFonts w:ascii="Arial" w:eastAsia="Arial" w:hAnsi="Arial" w:cs="Arial"/>
          <w:spacing w:val="-2"/>
          <w:sz w:val="24"/>
          <w:szCs w:val="24"/>
        </w:rPr>
        <w:t>й</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жиж</w:t>
      </w:r>
      <w:r w:rsidRPr="009A33DE">
        <w:rPr>
          <w:rFonts w:ascii="Arial" w:eastAsia="Arial" w:hAnsi="Arial" w:cs="Arial"/>
          <w:spacing w:val="1"/>
          <w:sz w:val="24"/>
          <w:szCs w:val="24"/>
        </w:rPr>
        <w:t>и</w:t>
      </w:r>
      <w:r w:rsidRPr="009A33DE">
        <w:rPr>
          <w:rFonts w:ascii="Arial" w:eastAsia="Arial" w:hAnsi="Arial" w:cs="Arial"/>
          <w:sz w:val="24"/>
          <w:szCs w:val="24"/>
        </w:rPr>
        <w:t>г</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х</w:t>
      </w:r>
      <w:r w:rsidRPr="009A33DE">
        <w:rPr>
          <w:rFonts w:ascii="Arial" w:eastAsia="Arial" w:hAnsi="Arial" w:cs="Arial"/>
          <w:spacing w:val="-2"/>
          <w:sz w:val="24"/>
          <w:szCs w:val="24"/>
        </w:rPr>
        <w:t>у</w:t>
      </w:r>
      <w:r w:rsidRPr="009A33DE">
        <w:rPr>
          <w:rFonts w:ascii="Arial" w:eastAsia="Arial" w:hAnsi="Arial" w:cs="Arial"/>
          <w:sz w:val="24"/>
          <w:szCs w:val="24"/>
        </w:rPr>
        <w:t>вь</w:t>
      </w:r>
      <w:r w:rsidRPr="009A33DE">
        <w:rPr>
          <w:rFonts w:ascii="Arial" w:eastAsia="Arial" w:hAnsi="Arial" w:cs="Arial"/>
          <w:spacing w:val="-1"/>
          <w:sz w:val="24"/>
          <w:szCs w:val="24"/>
        </w:rPr>
        <w:t>ц</w:t>
      </w:r>
      <w:r w:rsidRPr="009A33DE">
        <w:rPr>
          <w:rFonts w:ascii="Arial" w:eastAsia="Arial" w:hAnsi="Arial" w:cs="Arial"/>
          <w:spacing w:val="1"/>
          <w:sz w:val="24"/>
          <w:szCs w:val="24"/>
        </w:rPr>
        <w:t>а</w:t>
      </w:r>
      <w:r w:rsidRPr="009A33DE">
        <w:rPr>
          <w:rFonts w:ascii="Arial" w:eastAsia="Arial" w:hAnsi="Arial" w:cs="Arial"/>
          <w:sz w:val="24"/>
          <w:szCs w:val="24"/>
        </w:rPr>
        <w:t>а</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эзэ</w:t>
      </w:r>
      <w:r w:rsidRPr="009A33DE">
        <w:rPr>
          <w:rFonts w:ascii="Arial" w:eastAsia="Arial" w:hAnsi="Arial" w:cs="Arial"/>
          <w:spacing w:val="1"/>
          <w:sz w:val="24"/>
          <w:szCs w:val="24"/>
        </w:rPr>
        <w:t>м</w:t>
      </w:r>
      <w:r w:rsidRPr="009A33DE">
        <w:rPr>
          <w:rFonts w:ascii="Arial" w:eastAsia="Arial" w:hAnsi="Arial" w:cs="Arial"/>
          <w:sz w:val="24"/>
          <w:szCs w:val="24"/>
        </w:rPr>
        <w:t>ши</w:t>
      </w:r>
      <w:r w:rsidRPr="009A33DE">
        <w:rPr>
          <w:rFonts w:ascii="Arial" w:eastAsia="Arial" w:hAnsi="Arial" w:cs="Arial"/>
          <w:spacing w:val="-1"/>
          <w:sz w:val="24"/>
          <w:szCs w:val="24"/>
        </w:rPr>
        <w:t>г</w:t>
      </w:r>
      <w:r w:rsidRPr="009A33DE">
        <w:rPr>
          <w:rFonts w:ascii="Arial" w:eastAsia="Arial" w:hAnsi="Arial" w:cs="Arial"/>
          <w:sz w:val="24"/>
          <w:szCs w:val="24"/>
        </w:rPr>
        <w:t>ч</w:t>
      </w:r>
      <w:r w:rsidRPr="009A33DE">
        <w:rPr>
          <w:rFonts w:ascii="Arial" w:eastAsia="Arial" w:hAnsi="Arial" w:cs="Arial"/>
          <w:spacing w:val="-1"/>
          <w:sz w:val="24"/>
          <w:szCs w:val="24"/>
        </w:rPr>
        <w:t>д</w:t>
      </w:r>
      <w:r w:rsidRPr="009A33DE">
        <w:rPr>
          <w:rFonts w:ascii="Arial" w:eastAsia="Arial" w:hAnsi="Arial" w:cs="Arial"/>
          <w:sz w:val="24"/>
          <w:szCs w:val="24"/>
        </w:rPr>
        <w:t>ийн</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э</w:t>
      </w:r>
      <w:r w:rsidRPr="009A33DE">
        <w:rPr>
          <w:rFonts w:ascii="Arial" w:eastAsia="Arial" w:hAnsi="Arial" w:cs="Arial"/>
          <w:spacing w:val="1"/>
          <w:sz w:val="24"/>
          <w:szCs w:val="24"/>
        </w:rPr>
        <w:t>р</w:t>
      </w:r>
      <w:r w:rsidRPr="009A33DE">
        <w:rPr>
          <w:rFonts w:ascii="Arial" w:eastAsia="Arial" w:hAnsi="Arial" w:cs="Arial"/>
          <w:sz w:val="24"/>
          <w:szCs w:val="24"/>
        </w:rPr>
        <w:t>х</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1"/>
          <w:sz w:val="24"/>
          <w:szCs w:val="24"/>
        </w:rPr>
        <w:t>а</w:t>
      </w:r>
      <w:r w:rsidRPr="009A33DE">
        <w:rPr>
          <w:rFonts w:ascii="Arial" w:eastAsia="Arial" w:hAnsi="Arial" w:cs="Arial"/>
          <w:sz w:val="24"/>
          <w:szCs w:val="24"/>
        </w:rPr>
        <w:t>ш</w:t>
      </w:r>
      <w:r w:rsidRPr="009A33DE">
        <w:rPr>
          <w:rFonts w:ascii="Arial" w:eastAsia="Arial" w:hAnsi="Arial" w:cs="Arial"/>
          <w:spacing w:val="-2"/>
          <w:sz w:val="24"/>
          <w:szCs w:val="24"/>
        </w:rPr>
        <w:t>г</w:t>
      </w:r>
      <w:r w:rsidRPr="009A33DE">
        <w:rPr>
          <w:rFonts w:ascii="Arial" w:eastAsia="Arial" w:hAnsi="Arial" w:cs="Arial"/>
          <w:sz w:val="24"/>
          <w:szCs w:val="24"/>
        </w:rPr>
        <w:t>ийг</w:t>
      </w:r>
      <w:proofErr w:type="spellEnd"/>
      <w:r w:rsidRPr="009A33DE">
        <w:rPr>
          <w:rFonts w:ascii="Arial" w:eastAsia="Arial" w:hAnsi="Arial" w:cs="Arial"/>
          <w:sz w:val="24"/>
          <w:szCs w:val="24"/>
        </w:rPr>
        <w:t xml:space="preserve"> </w:t>
      </w:r>
      <w:r w:rsidRPr="009A33DE">
        <w:rPr>
          <w:rFonts w:ascii="Arial" w:eastAsia="Arial" w:hAnsi="Arial" w:cs="Arial"/>
          <w:sz w:val="24"/>
          <w:szCs w:val="24"/>
          <w:lang w:val="mn-MN"/>
        </w:rPr>
        <w:t xml:space="preserve">төдийлөн сайн хамгаалж чадахгүй байгаагийн улмаас </w:t>
      </w:r>
      <w:proofErr w:type="spellStart"/>
      <w:r w:rsidRPr="009A33DE">
        <w:rPr>
          <w:rFonts w:ascii="Arial" w:eastAsia="Arial" w:hAnsi="Arial" w:cs="Arial"/>
          <w:sz w:val="24"/>
          <w:szCs w:val="24"/>
        </w:rPr>
        <w:t>үнэт</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1"/>
          <w:sz w:val="24"/>
          <w:szCs w:val="24"/>
        </w:rPr>
        <w:t>ц</w:t>
      </w:r>
      <w:r w:rsidRPr="009A33DE">
        <w:rPr>
          <w:rFonts w:ascii="Arial" w:eastAsia="Arial" w:hAnsi="Arial" w:cs="Arial"/>
          <w:spacing w:val="1"/>
          <w:sz w:val="24"/>
          <w:szCs w:val="24"/>
        </w:rPr>
        <w:t>аа</w:t>
      </w:r>
      <w:r w:rsidRPr="009A33DE">
        <w:rPr>
          <w:rFonts w:ascii="Arial" w:eastAsia="Arial" w:hAnsi="Arial" w:cs="Arial"/>
          <w:sz w:val="24"/>
          <w:szCs w:val="24"/>
        </w:rPr>
        <w:t>сны</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з</w:t>
      </w:r>
      <w:r w:rsidRPr="009A33DE">
        <w:rPr>
          <w:rFonts w:ascii="Arial" w:eastAsia="Arial" w:hAnsi="Arial" w:cs="Arial"/>
          <w:spacing w:val="8"/>
          <w:sz w:val="24"/>
          <w:szCs w:val="24"/>
        </w:rPr>
        <w:t>а</w:t>
      </w:r>
      <w:r w:rsidRPr="009A33DE">
        <w:rPr>
          <w:rFonts w:ascii="Arial" w:eastAsia="Arial" w:hAnsi="Arial" w:cs="Arial"/>
          <w:sz w:val="24"/>
          <w:szCs w:val="24"/>
        </w:rPr>
        <w:t>х</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зээл</w:t>
      </w:r>
      <w:proofErr w:type="spellEnd"/>
      <w:r w:rsidRPr="009A33DE">
        <w:rPr>
          <w:rFonts w:ascii="Arial" w:eastAsia="Arial" w:hAnsi="Arial" w:cs="Arial"/>
          <w:sz w:val="24"/>
          <w:szCs w:val="24"/>
        </w:rPr>
        <w:t xml:space="preserve"> </w:t>
      </w:r>
      <w:proofErr w:type="spellStart"/>
      <w:r w:rsidRPr="009A33DE">
        <w:rPr>
          <w:rFonts w:ascii="Arial" w:eastAsia="Arial" w:hAnsi="Arial" w:cs="Arial"/>
          <w:sz w:val="24"/>
          <w:szCs w:val="24"/>
        </w:rPr>
        <w:t>з</w:t>
      </w:r>
      <w:r w:rsidRPr="009A33DE">
        <w:rPr>
          <w:rFonts w:ascii="Arial" w:eastAsia="Arial" w:hAnsi="Arial" w:cs="Arial"/>
          <w:spacing w:val="1"/>
          <w:sz w:val="24"/>
          <w:szCs w:val="24"/>
        </w:rPr>
        <w:t>о</w:t>
      </w:r>
      <w:r w:rsidRPr="009A33DE">
        <w:rPr>
          <w:rFonts w:ascii="Arial" w:eastAsia="Arial" w:hAnsi="Arial" w:cs="Arial"/>
          <w:spacing w:val="-1"/>
          <w:sz w:val="24"/>
          <w:szCs w:val="24"/>
        </w:rPr>
        <w:t>г</w:t>
      </w:r>
      <w:r w:rsidRPr="009A33DE">
        <w:rPr>
          <w:rFonts w:ascii="Arial" w:eastAsia="Arial" w:hAnsi="Arial" w:cs="Arial"/>
          <w:sz w:val="24"/>
          <w:szCs w:val="24"/>
        </w:rPr>
        <w:t>с</w:t>
      </w:r>
      <w:r w:rsidRPr="009A33DE">
        <w:rPr>
          <w:rFonts w:ascii="Arial" w:eastAsia="Arial" w:hAnsi="Arial" w:cs="Arial"/>
          <w:spacing w:val="1"/>
          <w:sz w:val="24"/>
          <w:szCs w:val="24"/>
        </w:rPr>
        <w:t>о</w:t>
      </w:r>
      <w:r w:rsidRPr="009A33DE">
        <w:rPr>
          <w:rFonts w:ascii="Arial" w:eastAsia="Arial" w:hAnsi="Arial" w:cs="Arial"/>
          <w:sz w:val="24"/>
          <w:szCs w:val="24"/>
        </w:rPr>
        <w:t>н</w:t>
      </w:r>
      <w:r w:rsidRPr="009A33DE">
        <w:rPr>
          <w:rFonts w:ascii="Arial" w:eastAsia="Arial" w:hAnsi="Arial" w:cs="Arial"/>
          <w:spacing w:val="-2"/>
          <w:sz w:val="24"/>
          <w:szCs w:val="24"/>
        </w:rPr>
        <w:t>г</w:t>
      </w:r>
      <w:r w:rsidRPr="009A33DE">
        <w:rPr>
          <w:rFonts w:ascii="Arial" w:eastAsia="Arial" w:hAnsi="Arial" w:cs="Arial"/>
          <w:sz w:val="24"/>
          <w:szCs w:val="24"/>
        </w:rPr>
        <w:t>и</w:t>
      </w:r>
      <w:proofErr w:type="spellEnd"/>
      <w:r w:rsidRPr="009A33DE">
        <w:rPr>
          <w:rFonts w:ascii="Arial" w:eastAsia="Arial" w:hAnsi="Arial" w:cs="Arial"/>
          <w:sz w:val="24"/>
          <w:szCs w:val="24"/>
        </w:rPr>
        <w:t xml:space="preserve"> </w:t>
      </w:r>
      <w:proofErr w:type="spellStart"/>
      <w:r w:rsidRPr="009A33DE">
        <w:rPr>
          <w:rFonts w:ascii="Arial" w:eastAsia="Arial" w:hAnsi="Arial" w:cs="Arial"/>
          <w:spacing w:val="2"/>
          <w:sz w:val="24"/>
          <w:szCs w:val="24"/>
        </w:rPr>
        <w:t>б</w:t>
      </w:r>
      <w:r w:rsidRPr="009A33DE">
        <w:rPr>
          <w:rFonts w:ascii="Arial" w:eastAsia="Arial" w:hAnsi="Arial" w:cs="Arial"/>
          <w:spacing w:val="1"/>
          <w:sz w:val="24"/>
          <w:szCs w:val="24"/>
        </w:rPr>
        <w:t>а</w:t>
      </w:r>
      <w:r w:rsidRPr="009A33DE">
        <w:rPr>
          <w:rFonts w:ascii="Arial" w:eastAsia="Arial" w:hAnsi="Arial" w:cs="Arial"/>
          <w:sz w:val="24"/>
          <w:szCs w:val="24"/>
        </w:rPr>
        <w:t>йдалд</w:t>
      </w:r>
      <w:proofErr w:type="spellEnd"/>
      <w:r w:rsidRPr="009A33DE">
        <w:rPr>
          <w:rFonts w:ascii="Arial" w:eastAsia="Arial" w:hAnsi="Arial" w:cs="Arial"/>
          <w:sz w:val="24"/>
          <w:szCs w:val="24"/>
        </w:rPr>
        <w:t xml:space="preserve"> </w:t>
      </w:r>
      <w:r w:rsidRPr="009A33DE">
        <w:rPr>
          <w:rFonts w:ascii="Arial" w:eastAsia="Arial" w:hAnsi="Arial" w:cs="Arial"/>
          <w:spacing w:val="1"/>
          <w:sz w:val="24"/>
          <w:szCs w:val="24"/>
          <w:lang w:val="mn-MN"/>
        </w:rPr>
        <w:t>орсонд дүгнэлт хийж</w:t>
      </w:r>
      <w:r w:rsidRPr="009A33DE">
        <w:rPr>
          <w:rFonts w:ascii="Arial" w:eastAsia="Arial" w:hAnsi="Arial" w:cs="Arial"/>
          <w:sz w:val="24"/>
          <w:szCs w:val="24"/>
          <w:lang w:val="mn-MN"/>
        </w:rPr>
        <w:t xml:space="preserve"> үнэт цаасны зах зээлийг идэвхжүүлэх бодлогын арга хэмжээг авч хэрэгжүүлэх</w:t>
      </w:r>
      <w:r w:rsidRPr="009A33DE">
        <w:rPr>
          <w:rFonts w:ascii="Arial" w:hAnsi="Arial" w:cs="Arial"/>
          <w:sz w:val="24"/>
          <w:szCs w:val="24"/>
          <w:lang w:val="mn-MN"/>
        </w:rPr>
        <w:t>;</w:t>
      </w:r>
    </w:p>
    <w:p w:rsidR="006705B1" w:rsidRPr="009A33DE" w:rsidRDefault="006705B1" w:rsidP="006705B1">
      <w:pPr>
        <w:pStyle w:val="ListParagraph"/>
        <w:tabs>
          <w:tab w:val="left" w:pos="720"/>
        </w:tabs>
        <w:spacing w:after="0" w:line="240" w:lineRule="auto"/>
        <w:ind w:left="0" w:right="32" w:firstLine="360"/>
        <w:rPr>
          <w:rFonts w:ascii="Times New Roman" w:hAnsi="Times New Roman"/>
          <w:sz w:val="24"/>
          <w:szCs w:val="24"/>
        </w:rPr>
      </w:pPr>
    </w:p>
    <w:p w:rsidR="006705B1" w:rsidRPr="009A33DE" w:rsidRDefault="006705B1" w:rsidP="006705B1">
      <w:pPr>
        <w:pStyle w:val="ListParagraph"/>
        <w:numPr>
          <w:ilvl w:val="0"/>
          <w:numId w:val="3"/>
        </w:numPr>
        <w:tabs>
          <w:tab w:val="left" w:pos="720"/>
        </w:tabs>
        <w:spacing w:after="0" w:line="240" w:lineRule="auto"/>
        <w:ind w:left="0" w:right="32" w:firstLine="360"/>
        <w:jc w:val="both"/>
        <w:rPr>
          <w:rFonts w:ascii="Arial" w:hAnsi="Arial" w:cs="Arial"/>
          <w:sz w:val="24"/>
          <w:szCs w:val="24"/>
          <w:lang w:val="mn-MN"/>
        </w:rPr>
      </w:pPr>
      <w:r w:rsidRPr="009A33DE">
        <w:rPr>
          <w:rFonts w:ascii="Arial" w:hAnsi="Arial" w:cs="Arial"/>
          <w:sz w:val="24"/>
          <w:szCs w:val="24"/>
          <w:lang w:val="mn-MN"/>
        </w:rPr>
        <w:t>Банк бус санхүүгийн үйл ажиллагааг нь алслагдмал орон нутгийн иргэдэд хүргэх хүртээмж хязгаарлагдмал хэвээр байгааг анхааралдаа авч, тэдгээрийн үйлчилгээний хүрээг тэлэх зохицуулалтын оновчтой бодлого боловсруулж, орон нутагт  тохирсон банк бус санхүүгийн үйлчилгээний шинэ загвар бүтээгдэхүүн нэвтрүүлэх, бичил санхүүгийн хүртээмжийг нэмэгдүүлэх арга механизмыг сайжруулах, Төвбанктай энэ чиглэлээр хамтран ажиллах;</w:t>
      </w:r>
    </w:p>
    <w:p w:rsidR="006705B1" w:rsidRPr="009A33DE" w:rsidRDefault="006705B1" w:rsidP="006705B1">
      <w:pPr>
        <w:pStyle w:val="ListParagraph"/>
        <w:tabs>
          <w:tab w:val="left" w:pos="720"/>
        </w:tabs>
        <w:spacing w:after="0" w:line="240" w:lineRule="auto"/>
        <w:ind w:left="0" w:right="32" w:firstLine="360"/>
        <w:jc w:val="both"/>
        <w:rPr>
          <w:rFonts w:ascii="Arial" w:hAnsi="Arial" w:cs="Arial"/>
          <w:sz w:val="24"/>
          <w:szCs w:val="24"/>
          <w:lang w:val="mn-MN"/>
        </w:rPr>
      </w:pPr>
    </w:p>
    <w:p w:rsidR="006705B1" w:rsidRPr="009A33DE" w:rsidRDefault="006705B1" w:rsidP="006705B1">
      <w:pPr>
        <w:pStyle w:val="ListParagraph"/>
        <w:numPr>
          <w:ilvl w:val="0"/>
          <w:numId w:val="3"/>
        </w:numPr>
        <w:tabs>
          <w:tab w:val="left" w:pos="720"/>
        </w:tabs>
        <w:spacing w:after="0" w:line="240" w:lineRule="auto"/>
        <w:ind w:left="0" w:right="32" w:firstLine="360"/>
        <w:jc w:val="both"/>
        <w:rPr>
          <w:rFonts w:ascii="Arial" w:hAnsi="Arial" w:cs="Arial"/>
          <w:sz w:val="24"/>
          <w:szCs w:val="24"/>
          <w:lang w:val="mn-MN"/>
        </w:rPr>
      </w:pPr>
      <w:r w:rsidRPr="009A33DE">
        <w:rPr>
          <w:rFonts w:ascii="Arial" w:hAnsi="Arial" w:cs="Arial"/>
          <w:sz w:val="24"/>
          <w:szCs w:val="24"/>
          <w:lang w:val="mn-MN"/>
        </w:rPr>
        <w:t>Санхүүгийн тогтвортой байдлын зөвлөлөөр валютын биржийн тогтолцооны талаарх асуудлыг хэлэлцүүлж, валютын үйл ажиллагаанд зохицуулалт, хяналтын оновчтой тогтолцоог бий болгох, 2014 оны мөнгөний бодлогын үндсэн чиглэлтэй уялдуулах;</w:t>
      </w:r>
    </w:p>
    <w:p w:rsidR="006705B1" w:rsidRPr="009A33DE" w:rsidRDefault="006705B1" w:rsidP="006705B1">
      <w:pPr>
        <w:pStyle w:val="ListParagraph"/>
        <w:tabs>
          <w:tab w:val="left" w:pos="720"/>
        </w:tabs>
        <w:spacing w:after="0" w:line="240" w:lineRule="auto"/>
        <w:ind w:left="0" w:right="32" w:firstLine="360"/>
        <w:jc w:val="both"/>
        <w:rPr>
          <w:rFonts w:ascii="Arial" w:hAnsi="Arial" w:cs="Arial"/>
          <w:sz w:val="24"/>
          <w:szCs w:val="24"/>
          <w:lang w:val="mn-MN"/>
        </w:rPr>
      </w:pPr>
    </w:p>
    <w:p w:rsidR="006705B1" w:rsidRPr="009A33DE" w:rsidRDefault="006705B1" w:rsidP="006705B1">
      <w:pPr>
        <w:pStyle w:val="ListParagraph"/>
        <w:numPr>
          <w:ilvl w:val="0"/>
          <w:numId w:val="3"/>
        </w:numPr>
        <w:tabs>
          <w:tab w:val="left" w:pos="720"/>
        </w:tabs>
        <w:spacing w:after="0" w:line="240" w:lineRule="auto"/>
        <w:ind w:left="0" w:right="32" w:firstLine="360"/>
        <w:jc w:val="both"/>
        <w:rPr>
          <w:rFonts w:ascii="Arial" w:hAnsi="Arial" w:cs="Arial"/>
          <w:sz w:val="24"/>
          <w:szCs w:val="24"/>
          <w:lang w:val="mn-MN"/>
        </w:rPr>
      </w:pPr>
      <w:r w:rsidRPr="009A33DE">
        <w:rPr>
          <w:rFonts w:ascii="Arial" w:hAnsi="Arial" w:cs="Arial"/>
          <w:sz w:val="24"/>
          <w:szCs w:val="24"/>
          <w:lang w:val="mn-MN"/>
        </w:rPr>
        <w:t>Бичил санхүүгийн болон банк бус санхүүгийн байгууллагуудыг зээлийн мэдээллийн санд бүрэн хамруулах, зээлийн хүүг бууруулах бодлогын орчинг бий болгох;</w:t>
      </w:r>
    </w:p>
    <w:p w:rsidR="006705B1" w:rsidRPr="009A33DE" w:rsidRDefault="006705B1" w:rsidP="006705B1">
      <w:pPr>
        <w:pStyle w:val="ListParagraph"/>
        <w:tabs>
          <w:tab w:val="left" w:pos="720"/>
        </w:tabs>
        <w:spacing w:after="0" w:line="240" w:lineRule="auto"/>
        <w:ind w:left="0" w:right="32" w:firstLine="360"/>
        <w:jc w:val="both"/>
        <w:rPr>
          <w:rFonts w:ascii="Arial" w:hAnsi="Arial" w:cs="Arial"/>
          <w:sz w:val="24"/>
          <w:szCs w:val="24"/>
          <w:lang w:val="mn-MN"/>
        </w:rPr>
      </w:pPr>
    </w:p>
    <w:p w:rsidR="006705B1" w:rsidRPr="009A33DE" w:rsidRDefault="006705B1" w:rsidP="006705B1">
      <w:pPr>
        <w:pStyle w:val="ListParagraph"/>
        <w:numPr>
          <w:ilvl w:val="0"/>
          <w:numId w:val="3"/>
        </w:numPr>
        <w:tabs>
          <w:tab w:val="left" w:pos="720"/>
        </w:tabs>
        <w:spacing w:after="0" w:line="240" w:lineRule="auto"/>
        <w:ind w:left="0" w:right="32" w:firstLine="360"/>
        <w:jc w:val="both"/>
        <w:rPr>
          <w:rFonts w:ascii="Arial" w:hAnsi="Arial" w:cs="Arial"/>
          <w:sz w:val="24"/>
          <w:szCs w:val="24"/>
          <w:lang w:val="mn-MN"/>
        </w:rPr>
      </w:pPr>
      <w:r w:rsidRPr="009A33DE">
        <w:rPr>
          <w:rFonts w:ascii="Arial" w:hAnsi="Arial" w:cs="Arial"/>
          <w:sz w:val="24"/>
          <w:szCs w:val="24"/>
          <w:lang w:val="mn-MN"/>
        </w:rPr>
        <w:t>Иргэд, даатгуулагчдын санхүүгийн болон даатгалын талаарх мэдлэг боловсролыг дээшлүүлж, харилцагчдын эрх ашгийг хамгаалах,</w:t>
      </w:r>
      <w:r w:rsidRPr="009A33DE">
        <w:rPr>
          <w:rFonts w:ascii="Arial" w:hAnsi="Arial" w:cs="Arial"/>
          <w:sz w:val="24"/>
          <w:szCs w:val="24"/>
        </w:rPr>
        <w:t xml:space="preserve"> </w:t>
      </w:r>
      <w:r w:rsidRPr="009A33DE">
        <w:rPr>
          <w:rFonts w:ascii="Arial" w:hAnsi="Arial" w:cs="Arial"/>
          <w:sz w:val="24"/>
          <w:szCs w:val="24"/>
          <w:lang w:val="mn-MN"/>
        </w:rPr>
        <w:t>үндэсний давхар даатгалын компани байгуулах талаар судалгаа хийж, үндэслэл боловсруулах;</w:t>
      </w:r>
    </w:p>
    <w:p w:rsidR="006705B1" w:rsidRPr="009A33DE" w:rsidRDefault="006705B1" w:rsidP="006705B1">
      <w:pPr>
        <w:pStyle w:val="ListParagraph"/>
        <w:tabs>
          <w:tab w:val="left" w:pos="720"/>
        </w:tabs>
        <w:spacing w:after="0" w:line="240" w:lineRule="auto"/>
        <w:ind w:left="0" w:right="32" w:firstLine="360"/>
        <w:jc w:val="both"/>
        <w:rPr>
          <w:rFonts w:ascii="Arial" w:hAnsi="Arial" w:cs="Arial"/>
          <w:sz w:val="24"/>
          <w:szCs w:val="24"/>
          <w:lang w:val="mn-MN"/>
        </w:rPr>
      </w:pPr>
    </w:p>
    <w:p w:rsidR="006705B1" w:rsidRPr="009A33DE" w:rsidRDefault="006705B1" w:rsidP="006705B1">
      <w:pPr>
        <w:pStyle w:val="ListParagraph"/>
        <w:numPr>
          <w:ilvl w:val="0"/>
          <w:numId w:val="3"/>
        </w:numPr>
        <w:tabs>
          <w:tab w:val="left" w:pos="720"/>
        </w:tabs>
        <w:spacing w:after="0" w:line="240" w:lineRule="auto"/>
        <w:ind w:left="0" w:right="32" w:firstLine="360"/>
        <w:jc w:val="both"/>
        <w:rPr>
          <w:rFonts w:ascii="Arial" w:hAnsi="Arial" w:cs="Arial"/>
          <w:sz w:val="24"/>
          <w:szCs w:val="24"/>
          <w:lang w:val="mn-MN"/>
        </w:rPr>
      </w:pPr>
      <w:r w:rsidRPr="009A33DE">
        <w:rPr>
          <w:rFonts w:ascii="Arial" w:hAnsi="Arial" w:cs="Arial"/>
          <w:sz w:val="24"/>
          <w:szCs w:val="24"/>
          <w:lang w:val="mn-MN"/>
        </w:rPr>
        <w:t>Хууль тогтоомжийн хэрэгжилтэд тавих хяналтыг сайжруулах.</w:t>
      </w:r>
    </w:p>
    <w:p w:rsidR="006705B1" w:rsidRPr="009A33DE" w:rsidRDefault="006705B1" w:rsidP="006705B1">
      <w:pPr>
        <w:tabs>
          <w:tab w:val="left" w:pos="720"/>
        </w:tabs>
        <w:spacing w:after="0" w:line="240" w:lineRule="auto"/>
        <w:ind w:right="32"/>
        <w:jc w:val="both"/>
        <w:rPr>
          <w:rFonts w:ascii="Arial" w:hAnsi="Arial" w:cs="Arial"/>
          <w:sz w:val="24"/>
          <w:szCs w:val="24"/>
          <w:lang w:val="mn-MN"/>
        </w:rPr>
      </w:pPr>
    </w:p>
    <w:p w:rsidR="006705B1" w:rsidRPr="009A33DE" w:rsidRDefault="006705B1" w:rsidP="006705B1">
      <w:pPr>
        <w:tabs>
          <w:tab w:val="left" w:pos="720"/>
        </w:tabs>
        <w:spacing w:after="0" w:line="240" w:lineRule="auto"/>
        <w:ind w:right="32"/>
        <w:jc w:val="both"/>
        <w:rPr>
          <w:rFonts w:ascii="Arial" w:hAnsi="Arial" w:cs="Arial"/>
          <w:sz w:val="24"/>
          <w:szCs w:val="24"/>
          <w:lang w:val="mn-MN"/>
        </w:rPr>
      </w:pPr>
    </w:p>
    <w:p w:rsidR="006705B1" w:rsidRPr="009A33DE" w:rsidRDefault="006705B1" w:rsidP="006705B1">
      <w:pPr>
        <w:tabs>
          <w:tab w:val="left" w:pos="720"/>
        </w:tabs>
        <w:spacing w:after="0" w:line="240" w:lineRule="auto"/>
        <w:ind w:right="32"/>
        <w:jc w:val="both"/>
        <w:rPr>
          <w:rFonts w:ascii="Arial" w:hAnsi="Arial" w:cs="Arial"/>
          <w:sz w:val="24"/>
          <w:szCs w:val="24"/>
          <w:lang w:val="mn-MN"/>
        </w:rPr>
      </w:pPr>
    </w:p>
    <w:p w:rsidR="006705B1" w:rsidRPr="009A33DE" w:rsidRDefault="006705B1" w:rsidP="006705B1">
      <w:pPr>
        <w:tabs>
          <w:tab w:val="left" w:pos="720"/>
        </w:tabs>
        <w:spacing w:after="0" w:line="240" w:lineRule="auto"/>
        <w:ind w:right="32"/>
        <w:jc w:val="both"/>
        <w:rPr>
          <w:rFonts w:ascii="Arial" w:hAnsi="Arial" w:cs="Arial"/>
          <w:sz w:val="24"/>
          <w:szCs w:val="24"/>
          <w:lang w:val="mn-MN"/>
        </w:rPr>
      </w:pPr>
    </w:p>
    <w:p w:rsidR="006705B1" w:rsidRPr="009A33DE" w:rsidRDefault="006705B1" w:rsidP="006705B1">
      <w:pPr>
        <w:tabs>
          <w:tab w:val="left" w:pos="720"/>
        </w:tabs>
        <w:spacing w:after="0" w:line="240" w:lineRule="auto"/>
        <w:ind w:right="32"/>
        <w:jc w:val="both"/>
        <w:rPr>
          <w:rFonts w:ascii="Arial" w:hAnsi="Arial" w:cs="Arial"/>
          <w:sz w:val="24"/>
          <w:szCs w:val="24"/>
          <w:lang w:val="mn-MN"/>
        </w:rPr>
      </w:pPr>
    </w:p>
    <w:p w:rsidR="00CA3130" w:rsidRPr="00564CCC" w:rsidRDefault="00CA3130" w:rsidP="00CA3130">
      <w:pPr>
        <w:tabs>
          <w:tab w:val="left" w:pos="426"/>
          <w:tab w:val="left" w:pos="1665"/>
        </w:tabs>
        <w:spacing w:line="360" w:lineRule="auto"/>
        <w:ind w:right="-161"/>
        <w:jc w:val="center"/>
        <w:rPr>
          <w:rFonts w:ascii="Arial" w:hAnsi="Arial" w:cs="Arial"/>
          <w:b/>
          <w:sz w:val="24"/>
          <w:szCs w:val="24"/>
          <w:lang w:val="mn-MN"/>
        </w:rPr>
      </w:pPr>
      <w:r w:rsidRPr="00564CCC">
        <w:rPr>
          <w:rFonts w:ascii="Arial" w:hAnsi="Arial" w:cs="Arial"/>
          <w:b/>
          <w:sz w:val="24"/>
          <w:szCs w:val="24"/>
          <w:lang w:val="mn-MN"/>
        </w:rPr>
        <w:t>Эдийн засгийн байнгын хорооны ажлын алба.</w:t>
      </w:r>
    </w:p>
    <w:p w:rsidR="00D104AD" w:rsidRPr="009A33DE" w:rsidRDefault="00D104AD">
      <w:pPr>
        <w:rPr>
          <w:sz w:val="24"/>
          <w:szCs w:val="24"/>
        </w:rPr>
      </w:pPr>
    </w:p>
    <w:sectPr w:rsidR="00D104AD" w:rsidRPr="009A33DE" w:rsidSect="000138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896"/>
    <w:multiLevelType w:val="hybridMultilevel"/>
    <w:tmpl w:val="06F6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BC0516"/>
    <w:multiLevelType w:val="hybridMultilevel"/>
    <w:tmpl w:val="F4888E0C"/>
    <w:lvl w:ilvl="0" w:tplc="FF2E0C30">
      <w:start w:val="2013"/>
      <w:numFmt w:val="bullet"/>
      <w:lvlText w:val="-"/>
      <w:lvlJc w:val="left"/>
      <w:pPr>
        <w:ind w:left="108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B64ABE"/>
    <w:multiLevelType w:val="hybridMultilevel"/>
    <w:tmpl w:val="1394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A3130"/>
    <w:rsid w:val="000138B0"/>
    <w:rsid w:val="00064A16"/>
    <w:rsid w:val="00424666"/>
    <w:rsid w:val="00564CCC"/>
    <w:rsid w:val="006705B1"/>
    <w:rsid w:val="0073027D"/>
    <w:rsid w:val="009A33DE"/>
    <w:rsid w:val="00A9716F"/>
    <w:rsid w:val="00CA3130"/>
    <w:rsid w:val="00D104AD"/>
    <w:rsid w:val="00E66686"/>
    <w:rsid w:val="00EB2B64"/>
    <w:rsid w:val="00F42660"/>
    <w:rsid w:val="00FD7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3130"/>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6705B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33326560">
      <w:bodyDiv w:val="1"/>
      <w:marLeft w:val="0"/>
      <w:marRight w:val="0"/>
      <w:marTop w:val="0"/>
      <w:marBottom w:val="0"/>
      <w:divBdr>
        <w:top w:val="none" w:sz="0" w:space="0" w:color="auto"/>
        <w:left w:val="none" w:sz="0" w:space="0" w:color="auto"/>
        <w:bottom w:val="none" w:sz="0" w:space="0" w:color="auto"/>
        <w:right w:val="none" w:sz="0" w:space="0" w:color="auto"/>
      </w:divBdr>
    </w:div>
    <w:div w:id="20280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1C9B-382C-49B1-94FF-9C9EAFF5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Bayarmaa</dc:creator>
  <cp:keywords/>
  <dc:description/>
  <cp:lastModifiedBy>Bayarmaa</cp:lastModifiedBy>
  <cp:revision>26</cp:revision>
  <dcterms:created xsi:type="dcterms:W3CDTF">2014-01-06T07:02:00Z</dcterms:created>
  <dcterms:modified xsi:type="dcterms:W3CDTF">2014-01-07T06:20:00Z</dcterms:modified>
</cp:coreProperties>
</file>