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8103CC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8103CC" w:rsidRDefault="00C551F5" w:rsidP="008103CC">
      <w:pPr>
        <w:jc w:val="center"/>
        <w:rPr>
          <w:rFonts w:ascii="Arial" w:hAnsi="Arial" w:cs="Arial"/>
          <w:b/>
          <w:bCs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 xml:space="preserve">ДААТГАЛЫН МЭРГЭЖЛИЙН </w:t>
      </w:r>
    </w:p>
    <w:p w:rsidR="008103CC" w:rsidRPr="008103CC" w:rsidRDefault="008103CC" w:rsidP="008103CC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 xml:space="preserve">   ОРОЛЦОГЧИЙН ТУХАЙ ХУУЛЬД </w:t>
      </w:r>
    </w:p>
    <w:p w:rsidR="008103CC" w:rsidRPr="008103CC" w:rsidRDefault="008103CC" w:rsidP="008103CC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 xml:space="preserve">   НЭМЭЛТ, ӨӨРЧЛӨЛТ ОРУУЛАХ ТУХАЙ</w:t>
      </w:r>
    </w:p>
    <w:p w:rsidR="008103CC" w:rsidRDefault="008103CC" w:rsidP="008103CC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Даатгалын мэргэжлийн оролцогчийн тухай хуулийн 36 дугаар зүйлийн 36.1.1 дэх заалтын “зөрчсөн” гэсний дараа “нь гэмт хэрэг, зөрчлийн шинжгүй бол” гэж нэмсүгэй.</w:t>
      </w: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Даатгалын мэргэжлийн</w:t>
      </w: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 xml:space="preserve"> 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оролцогчийн</w:t>
      </w: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 xml:space="preserve"> 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тухай хуулийн 36 дугаар зүйлийн 36.1.5 дахь заалтын “</w:t>
      </w:r>
      <w:r w:rsidRPr="008103CC">
        <w:rPr>
          <w:rFonts w:ascii="Arial" w:eastAsia="Droid Sans Fallback" w:hAnsi="Arial" w:cs="Arial"/>
          <w:color w:val="00000A"/>
          <w:lang w:val="mn-MN"/>
        </w:rPr>
        <w:t xml:space="preserve">, 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 xml:space="preserve">тусгай зөвшөөрлийг хуурамч баримт бичиг бүрдүүлэн авсан нь тогтоогдсон” </w:t>
      </w:r>
      <w:r w:rsidRPr="008103CC">
        <w:rPr>
          <w:rFonts w:ascii="Arial" w:eastAsia="Droid Sans Fallback" w:hAnsi="Arial" w:cs="Arial"/>
          <w:color w:val="00000A"/>
          <w:lang w:val="mn-MN"/>
        </w:rPr>
        <w:t>гэснийг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 xml:space="preserve">, 44 дүгээр зүйлийн 44.2 дахь хэсгийн “бөгөөд даатгалын мэргэжлийн оролцогчийн үйл ажиллагаанд </w:t>
      </w:r>
      <w:r w:rsidRPr="008103CC">
        <w:rPr>
          <w:rFonts w:ascii="Arial" w:eastAsia="Droid Sans Fallback" w:hAnsi="Arial" w:cs="Arial"/>
          <w:color w:val="00000A"/>
          <w:lang w:val="mn-MN"/>
        </w:rPr>
        <w:t>Захиргааны хариуцлагын тухай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 xml:space="preserve"> хуулийн 19.2, 19.3 дахь хэсэг хамаарахгүй” гэснийг тус тус хассугай.</w:t>
      </w: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>3 дугаар зүйл.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Даатгалын мэргэжлийн оролцогчийн тухай хуулийн 36 дугаар зүйлийн 36.1.11, 37 дугаар зүйлийн 37.1.6 дахь заалтыг тус тус хүчингүй болсонд тооцсугай.</w:t>
      </w: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8103CC">
        <w:rPr>
          <w:rFonts w:ascii="Arial" w:eastAsia="Droid Sans Fallback" w:hAnsi="Arial" w:cs="Arial"/>
          <w:b/>
          <w:bCs/>
          <w:color w:val="00000A"/>
          <w:lang w:val="mn-MN"/>
        </w:rPr>
        <w:t>4 дүгээр зүйл.</w:t>
      </w:r>
      <w:r w:rsidRPr="008103CC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8103CC" w:rsidRPr="008103CC" w:rsidRDefault="008103CC" w:rsidP="008103CC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8103CC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8103CC" w:rsidRDefault="008103CC" w:rsidP="008103CC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  <w:t>ИХ ХУРЛЫН ДЭД ДАРГА</w:t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 w:rsidRPr="008103CC">
        <w:rPr>
          <w:rFonts w:ascii="Arial" w:eastAsia="Droid Sans Fallback" w:hAnsi="Arial" w:cs="Arial"/>
          <w:color w:val="00000A"/>
          <w:lang w:val="mn-MN"/>
        </w:rPr>
        <w:t>Ц.НЯМДОРЖ</w:t>
      </w:r>
    </w:p>
    <w:sectPr w:rsidR="00BF2102" w:rsidRPr="008103C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51" w:rsidRDefault="006B1551">
      <w:r>
        <w:separator/>
      </w:r>
    </w:p>
  </w:endnote>
  <w:endnote w:type="continuationSeparator" w:id="0">
    <w:p w:rsidR="006B1551" w:rsidRDefault="006B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51" w:rsidRDefault="006B1551">
      <w:r>
        <w:separator/>
      </w:r>
    </w:p>
  </w:footnote>
  <w:footnote w:type="continuationSeparator" w:id="0">
    <w:p w:rsidR="006B1551" w:rsidRDefault="006B1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1551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03CC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2017-06-15T04:49:00Z</dcterms:created>
  <dcterms:modified xsi:type="dcterms:W3CDTF">2017-06-15T04:49:00Z</dcterms:modified>
</cp:coreProperties>
</file>