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after="0" w:before="0" w:line="100" w:lineRule="atLeast"/>
        <w:contextualSpacing w:val="false"/>
        <w:jc w:val="center"/>
      </w:pPr>
      <w:r>
        <w:rPr>
          <w:b/>
          <w:bCs/>
          <w:i/>
          <w:iCs/>
          <w:sz w:val="24"/>
          <w:szCs w:val="24"/>
          <w:lang w:val="mn-MN"/>
        </w:rPr>
        <w:t>Монгол Улсын Их Хурлын 2013 оны намрын ээлжит чуулганы</w:t>
      </w:r>
    </w:p>
    <w:p>
      <w:pPr>
        <w:pStyle w:val="style22"/>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2014 оны 01 дүгээр сарын 24-ний өдөр </w:t>
      </w:r>
    </w:p>
    <w:p>
      <w:pPr>
        <w:pStyle w:val="style22"/>
        <w:spacing w:after="0" w:before="0" w:line="100" w:lineRule="atLeast"/>
        <w:contextualSpacing w:val="false"/>
        <w:jc w:val="center"/>
      </w:pPr>
      <w:r>
        <w:rPr>
          <w:b/>
          <w:bCs/>
          <w:i/>
          <w:iCs/>
          <w:sz w:val="24"/>
          <w:szCs w:val="24"/>
          <w:lang w:val="mn-MN"/>
        </w:rPr>
        <w:t>/Баасан гараг/-ийн хуралдааны гар тэмдэглэл</w:t>
      </w:r>
    </w:p>
    <w:p>
      <w:pPr>
        <w:pStyle w:val="style22"/>
        <w:spacing w:after="0" w:before="0" w:line="100" w:lineRule="atLeast"/>
        <w:contextualSpacing w:val="false"/>
        <w:jc w:val="center"/>
      </w:pPr>
      <w:r>
        <w:rPr/>
      </w:r>
    </w:p>
    <w:p>
      <w:pPr>
        <w:pStyle w:val="style22"/>
        <w:spacing w:line="100" w:lineRule="atLeast"/>
        <w:jc w:val="both"/>
      </w:pPr>
      <w:r>
        <w:rPr>
          <w:sz w:val="24"/>
          <w:szCs w:val="24"/>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22"/>
        <w:spacing w:line="100" w:lineRule="atLeast"/>
        <w:jc w:val="both"/>
      </w:pPr>
      <w:r>
        <w:rPr>
          <w:sz w:val="24"/>
          <w:szCs w:val="24"/>
          <w:lang w:val="mn-MN"/>
        </w:rPr>
        <w:tab/>
        <w:t xml:space="preserve"> Ирвэл зохих 19 гишүүнээс 11 гишүүн ирж, 57.8 хувийн ирцтэйгээр хуралдаан 12  цаг 20 минутад Төрийн ордны “Б” танхимд эхлэв.</w:t>
      </w:r>
    </w:p>
    <w:p>
      <w:pPr>
        <w:pStyle w:val="style22"/>
        <w:spacing w:after="0" w:before="0" w:line="100" w:lineRule="atLeast"/>
        <w:contextualSpacing w:val="false"/>
        <w:jc w:val="both"/>
      </w:pPr>
      <w:r>
        <w:rPr>
          <w:rFonts w:ascii="Arial Mon" w:hAnsi="Arial Mon"/>
          <w:b w:val="false"/>
          <w:bCs w:val="false"/>
          <w:i/>
          <w:iCs/>
          <w:sz w:val="24"/>
          <w:szCs w:val="24"/>
          <w:lang w:val="mn-MN"/>
        </w:rPr>
        <w:tab/>
        <w:t>Ч</w:t>
      </w:r>
      <w:r>
        <w:rPr>
          <w:b w:val="false"/>
          <w:bCs w:val="false"/>
          <w:i/>
          <w:iCs/>
          <w:sz w:val="24"/>
          <w:szCs w:val="24"/>
          <w:lang w:val="mn-MN"/>
        </w:rPr>
        <w:t>өлөөтэй:</w:t>
      </w:r>
      <w:r>
        <w:rPr>
          <w:b w:val="false"/>
          <w:bCs w:val="false"/>
          <w:i/>
          <w:iCs/>
          <w:sz w:val="24"/>
          <w:szCs w:val="24"/>
        </w:rPr>
        <w:t xml:space="preserve"> </w:t>
      </w:r>
      <w:r>
        <w:rPr>
          <w:b w:val="false"/>
          <w:bCs w:val="false"/>
          <w:i/>
          <w:iCs/>
          <w:sz w:val="24"/>
          <w:szCs w:val="24"/>
          <w:lang w:val="mn-MN"/>
        </w:rPr>
        <w:t xml:space="preserve">С.Баярцогт, Ц.Оюунбаатар.Оюунбаатар, Х.Тэмүүжин; </w:t>
      </w:r>
    </w:p>
    <w:p>
      <w:pPr>
        <w:pStyle w:val="style22"/>
        <w:spacing w:after="0" w:before="0" w:line="100" w:lineRule="atLeast"/>
        <w:contextualSpacing w:val="false"/>
        <w:jc w:val="both"/>
      </w:pPr>
      <w:r>
        <w:rPr>
          <w:b w:val="false"/>
          <w:bCs w:val="false"/>
          <w:i/>
          <w:iCs/>
          <w:sz w:val="24"/>
          <w:szCs w:val="24"/>
          <w:lang w:val="mn-MN"/>
        </w:rPr>
        <w:tab/>
        <w:t xml:space="preserve">Тасалсан:  </w:t>
      </w:r>
      <w:r>
        <w:rPr>
          <w:i/>
          <w:iCs/>
          <w:sz w:val="24"/>
          <w:szCs w:val="24"/>
          <w:lang w:val="mn-MN"/>
        </w:rPr>
        <w:t xml:space="preserve"> Д.Бат-Эрдэнэ, Д.Батцогт, З.Баянсэлэнгэ,  Д.Оюунхорол, Ө.Энхтүвшин. </w:t>
      </w:r>
    </w:p>
    <w:p>
      <w:pPr>
        <w:pStyle w:val="style22"/>
        <w:spacing w:after="0" w:before="0" w:line="100" w:lineRule="atLeast"/>
        <w:contextualSpacing w:val="false"/>
        <w:jc w:val="both"/>
      </w:pPr>
      <w:r>
        <w:rPr/>
      </w:r>
    </w:p>
    <w:p>
      <w:pPr>
        <w:pStyle w:val="style0"/>
        <w:spacing w:line="100" w:lineRule="atLeast"/>
        <w:jc w:val="both"/>
      </w:pPr>
      <w:r>
        <w:rPr>
          <w:b/>
          <w:sz w:val="24"/>
          <w:szCs w:val="24"/>
        </w:rPr>
        <w:tab/>
      </w:r>
      <w:r>
        <w:rPr>
          <w:b/>
          <w:i/>
          <w:iCs/>
          <w:sz w:val="24"/>
          <w:szCs w:val="24"/>
          <w:lang w:val="mn-MN"/>
        </w:rPr>
        <w:t xml:space="preserve">Нэг. </w:t>
      </w:r>
      <w:r>
        <w:rPr>
          <w:b/>
          <w:bCs/>
          <w:i/>
          <w:iCs/>
          <w:sz w:val="24"/>
          <w:szCs w:val="24"/>
          <w:lang w:val="mn-MN"/>
        </w:rPr>
        <w:t xml:space="preserve"> “</w:t>
      </w:r>
      <w:r>
        <w:rPr>
          <w:rFonts w:cs="Arial"/>
          <w:b/>
          <w:bCs/>
          <w:i/>
          <w:iCs/>
          <w:sz w:val="24"/>
          <w:szCs w:val="24"/>
          <w:lang w:val="mn-MN"/>
        </w:rPr>
        <w:t xml:space="preserve">Эрүүгийн байцаан шийтгэх хуульд нэмэлт, өөрчлөлт оруулах тухай, Прокурорын байгууллагын тухай хуулийн зарим зүйл хүчингүй болсонд тооцох тухай хуулийг хэрэгжүүлэх зарим арга хэмжээний тухай” Улсын Их Хурлын тогтоолын төсөл </w:t>
      </w:r>
    </w:p>
    <w:p>
      <w:pPr>
        <w:pStyle w:val="style0"/>
        <w:spacing w:line="100" w:lineRule="atLeast"/>
        <w:jc w:val="both"/>
      </w:pPr>
      <w:r>
        <w:rPr>
          <w:b/>
          <w:i/>
          <w:iCs/>
          <w:sz w:val="24"/>
          <w:szCs w:val="24"/>
        </w:rPr>
        <w:tab/>
      </w:r>
      <w:r>
        <w:rPr>
          <w:b w:val="false"/>
          <w:bCs w:val="false"/>
          <w:i w:val="false"/>
          <w:iCs w:val="false"/>
          <w:sz w:val="24"/>
          <w:szCs w:val="24"/>
          <w:lang w:val="mn-MN"/>
        </w:rPr>
        <w:t xml:space="preserve">Хэлэлцэж буй асуудалтай холбогдуулан Авлигатай тэмцэх газрын дарга Н.Ганболд, дэд дарга Б.Хурц мөн газрын Тамгын хэлтсийн дарга Б.Доньжчимбуу, Мөрдөн байцаах хэлтсийн дарга Ө.Энхтөр нар оролцов. </w:t>
      </w:r>
    </w:p>
    <w:p>
      <w:pPr>
        <w:pStyle w:val="style0"/>
        <w:spacing w:line="100" w:lineRule="atLeast"/>
        <w:jc w:val="both"/>
      </w:pPr>
      <w:r>
        <w:rPr>
          <w:b w:val="false"/>
          <w:bCs w:val="false"/>
          <w:i w:val="false"/>
          <w:iCs w:val="false"/>
          <w:sz w:val="24"/>
          <w:szCs w:val="24"/>
          <w:lang w:val="mn-MN"/>
        </w:rPr>
        <w:tab/>
        <w:t>Хууль зүйн байнгын хорооны ажлын албаны ахлах зөвлөх Э.Түвшинжаргал, зөвлөх Г.Нямдэлгэр, референт Ч.Батбямба нар байлцав.</w:t>
      </w:r>
    </w:p>
    <w:p>
      <w:pPr>
        <w:pStyle w:val="style0"/>
        <w:spacing w:line="100" w:lineRule="atLeast"/>
        <w:jc w:val="both"/>
      </w:pPr>
      <w:r>
        <w:rPr>
          <w:b w:val="false"/>
          <w:bCs w:val="false"/>
          <w:i w:val="false"/>
          <w:iCs w:val="false"/>
          <w:sz w:val="24"/>
          <w:szCs w:val="24"/>
          <w:lang w:val="mn-MN"/>
        </w:rPr>
        <w:tab/>
        <w:t>Тогтоолын төслийн талаар Авлигатай тэмцэх газрын дарга Н.Ганболд танилцуулга хийв.</w:t>
      </w:r>
    </w:p>
    <w:p>
      <w:pPr>
        <w:pStyle w:val="style0"/>
        <w:spacing w:line="100" w:lineRule="atLeast"/>
        <w:jc w:val="both"/>
      </w:pPr>
      <w:r>
        <w:rPr>
          <w:b w:val="false"/>
          <w:bCs w:val="false"/>
          <w:i w:val="false"/>
          <w:iCs w:val="false"/>
          <w:sz w:val="24"/>
          <w:szCs w:val="24"/>
          <w:lang w:val="mn-MN"/>
        </w:rPr>
        <w:tab/>
        <w:t>Танилцуулгатай  холбогдуулан Улсын Их Хурлын гишүү</w:t>
      </w:r>
      <w:r>
        <w:rPr>
          <w:b w:val="false"/>
          <w:bCs w:val="false"/>
          <w:i w:val="false"/>
          <w:iCs w:val="false"/>
          <w:color w:val="000000"/>
          <w:sz w:val="24"/>
          <w:szCs w:val="24"/>
          <w:lang w:val="mn-MN"/>
        </w:rPr>
        <w:t>н З.Энхболд, Р.Гончигдорж нарын тавьсан асуултад ажлын хэсгээс Авлигатай тэмцэх газрын дарга Н.Ганболд хариулж, тайлбар хийв.</w:t>
      </w:r>
    </w:p>
    <w:p>
      <w:pPr>
        <w:pStyle w:val="style0"/>
        <w:spacing w:line="100" w:lineRule="atLeast"/>
        <w:jc w:val="both"/>
      </w:pPr>
      <w:r>
        <w:rPr>
          <w:b w:val="false"/>
          <w:bCs w:val="false"/>
          <w:i w:val="false"/>
          <w:iCs w:val="false"/>
          <w:color w:val="000000"/>
          <w:sz w:val="24"/>
          <w:szCs w:val="24"/>
          <w:lang w:val="mn-MN"/>
        </w:rPr>
        <w:tab/>
        <w:t>Улсын Их Хурлын гишүүн Д.Лүндээжанцан, Р.Гончигдорж нар санал хэлэв.</w:t>
      </w:r>
    </w:p>
    <w:p>
      <w:pPr>
        <w:pStyle w:val="style0"/>
        <w:spacing w:line="100" w:lineRule="atLeast"/>
        <w:ind w:firstLine="720" w:left="0" w:right="0"/>
        <w:jc w:val="both"/>
      </w:pPr>
      <w:r>
        <w:rPr>
          <w:rFonts w:cs="Arial"/>
          <w:b w:val="false"/>
          <w:bCs w:val="false"/>
          <w:sz w:val="24"/>
          <w:szCs w:val="24"/>
          <w:lang w:val="mn-MN"/>
        </w:rPr>
        <w:t xml:space="preserve">Байнгын хорооны дарга Ш.Түвдэндорж тогтоолын төсөлд дээрх гишүүдийн саналыг тусгаж Байнгын хорооны гишүүдэд уншиж танилцуулав. </w:t>
      </w:r>
    </w:p>
    <w:p>
      <w:pPr>
        <w:pStyle w:val="style0"/>
        <w:spacing w:line="1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-Тогтоолын төслийг дэмжиж байгаа гишүүд гараа өргөнө үү. </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Зөвшөөрсөн</w:t>
        <w:tab/>
        <w:tab/>
        <w:t>11</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Татгалзсан</w:t>
        <w:tab/>
        <w:tab/>
        <w:t>0</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Бүгд</w:t>
        <w:tab/>
        <w:tab/>
        <w:tab/>
        <w:t>11</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38"/>
        <w:spacing w:after="0" w:before="0" w:line="115"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Ж.Батдандан танилцуулахаар тогтов</w:t>
      </w:r>
    </w:p>
    <w:p>
      <w:pPr>
        <w:pStyle w:val="style0"/>
        <w:spacing w:line="100" w:lineRule="atLeast"/>
        <w:jc w:val="both"/>
      </w:pPr>
      <w:r>
        <w:rPr>
          <w:sz w:val="24"/>
          <w:szCs w:val="24"/>
          <w:lang w:val="mn-MN"/>
        </w:rPr>
        <w:tab/>
      </w:r>
      <w:r>
        <w:rPr>
          <w:b/>
          <w:bCs/>
          <w:sz w:val="24"/>
          <w:szCs w:val="24"/>
        </w:rPr>
        <w:t xml:space="preserve"> </w:t>
      </w:r>
      <w:r>
        <w:rPr>
          <w:b/>
          <w:bCs/>
          <w:i/>
          <w:iCs/>
          <w:sz w:val="24"/>
          <w:szCs w:val="24"/>
          <w:lang w:val="mn-MN"/>
        </w:rPr>
        <w:t xml:space="preserve">Хуралдаан 12 цаг 40 минутад өндөрлөв. </w:t>
      </w:r>
    </w:p>
    <w:p>
      <w:pPr>
        <w:pStyle w:val="style32"/>
        <w:spacing w:after="0" w:before="0" w:line="100" w:lineRule="atLeast"/>
        <w:contextualSpacing w:val="false"/>
        <w:jc w:val="both"/>
      </w:pPr>
      <w:r>
        <w:rPr>
          <w:b/>
          <w:sz w:val="24"/>
          <w:szCs w:val="24"/>
          <w:lang w:val="mn-MN"/>
        </w:rPr>
        <w:tab/>
      </w:r>
      <w:bookmarkStart w:id="0" w:name="__DdeLink__5809_850800408"/>
      <w:r>
        <w:rPr>
          <w:b/>
          <w:sz w:val="24"/>
          <w:szCs w:val="24"/>
          <w:lang w:val="mn-MN"/>
        </w:rPr>
        <w:t>Тэмдэглэлтэй танилцсан:</w:t>
      </w:r>
    </w:p>
    <w:p>
      <w:pPr>
        <w:pStyle w:val="style32"/>
        <w:spacing w:after="0" w:before="0" w:line="100" w:lineRule="atLeast"/>
        <w:contextualSpacing w:val="false"/>
        <w:jc w:val="both"/>
      </w:pPr>
      <w:r>
        <w:rPr>
          <w:sz w:val="24"/>
          <w:szCs w:val="24"/>
          <w:lang w:val="mn-MN"/>
        </w:rPr>
        <w:tab/>
        <w:t>ХУУЛЬ ЗҮЙН  БАЙНГЫН</w:t>
      </w:r>
    </w:p>
    <w:p>
      <w:pPr>
        <w:pStyle w:val="style32"/>
        <w:spacing w:after="0" w:before="0" w:line="100" w:lineRule="atLeast"/>
        <w:contextualSpacing w:val="false"/>
        <w:jc w:val="both"/>
      </w:pPr>
      <w:r>
        <w:rPr>
          <w:sz w:val="24"/>
          <w:szCs w:val="24"/>
          <w:lang w:val="mn-MN"/>
        </w:rPr>
        <w:t xml:space="preserve"> </w:t>
      </w:r>
      <w:r>
        <w:rPr>
          <w:sz w:val="24"/>
          <w:szCs w:val="24"/>
          <w:lang w:val="mn-MN"/>
        </w:rPr>
        <w:tab/>
        <w:t>ХОРООНЫ ДАРГА Ш.ТҮВДЭНДОРЖ</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b/>
          <w:sz w:val="24"/>
          <w:szCs w:val="24"/>
          <w:lang w:val="mn-MN"/>
        </w:rPr>
        <w:tab/>
        <w:t>Тэмдэглэл хөтөлсөн:</w:t>
      </w:r>
    </w:p>
    <w:p>
      <w:pPr>
        <w:pStyle w:val="style32"/>
        <w:spacing w:after="0" w:before="0" w:line="100" w:lineRule="atLeast"/>
        <w:contextualSpacing w:val="false"/>
        <w:jc w:val="both"/>
      </w:pPr>
      <w:r>
        <w:rPr>
          <w:sz w:val="24"/>
          <w:szCs w:val="24"/>
          <w:lang w:val="mn-MN"/>
        </w:rPr>
        <w:tab/>
        <w:t xml:space="preserve">ПРОТОКОЛЫН АЛБАНЫ                     </w:t>
      </w:r>
    </w:p>
    <w:p>
      <w:pPr>
        <w:pStyle w:val="style32"/>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0"/>
      <w:r>
        <w:rPr>
          <w:sz w:val="24"/>
          <w:szCs w:val="24"/>
          <w:lang w:val="mn-MN"/>
        </w:rPr>
        <w:t>.МЯДАГМАА</w:t>
      </w:r>
    </w:p>
    <w:p>
      <w:pPr>
        <w:pStyle w:val="style32"/>
        <w:spacing w:line="100" w:lineRule="atLeast"/>
        <w:jc w:val="both"/>
      </w:pPr>
      <w:r>
        <w:rPr/>
      </w:r>
    </w:p>
    <w:p>
      <w:pPr>
        <w:pStyle w:val="style32"/>
        <w:spacing w:line="100" w:lineRule="atLeast"/>
        <w:jc w:val="both"/>
      </w:pPr>
      <w:r>
        <w:rPr/>
      </w:r>
    </w:p>
    <w:p>
      <w:pPr>
        <w:pStyle w:val="style32"/>
        <w:spacing w:line="100" w:lineRule="atLeast"/>
        <w:jc w:val="both"/>
      </w:pPr>
      <w:r>
        <w:rPr/>
      </w:r>
    </w:p>
    <w:p>
      <w:pPr>
        <w:pStyle w:val="style3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b/>
          <w:bCs/>
          <w:sz w:val="24"/>
          <w:szCs w:val="24"/>
          <w:lang w:val="mn-MN"/>
        </w:rPr>
        <w:t>УЛСЫН ИХ ХУРЛЫН</w:t>
      </w:r>
      <w:r>
        <w:rPr>
          <w:b/>
          <w:bCs/>
          <w:sz w:val="24"/>
          <w:szCs w:val="24"/>
        </w:rPr>
        <w:t xml:space="preserve"> 201</w:t>
      </w:r>
      <w:r>
        <w:rPr>
          <w:b/>
          <w:bCs/>
          <w:sz w:val="24"/>
          <w:szCs w:val="24"/>
          <w:lang w:val="mn-MN"/>
        </w:rPr>
        <w:t>3</w:t>
      </w:r>
      <w:r>
        <w:rPr>
          <w:b/>
          <w:bCs/>
          <w:sz w:val="24"/>
          <w:szCs w:val="24"/>
        </w:rPr>
        <w:t xml:space="preserve"> </w:t>
      </w:r>
      <w:r>
        <w:rPr>
          <w:b/>
          <w:bCs/>
          <w:sz w:val="24"/>
          <w:szCs w:val="24"/>
          <w:lang w:val="mn-MN"/>
        </w:rPr>
        <w:t xml:space="preserve">ОНЫ НАМРЫН ЭЭЛЖИТ ЧУУЛГАНЫ </w:t>
      </w:r>
    </w:p>
    <w:p>
      <w:pPr>
        <w:pStyle w:val="style0"/>
        <w:spacing w:after="0" w:before="0" w:line="100" w:lineRule="atLeast"/>
        <w:contextualSpacing w:val="false"/>
        <w:jc w:val="center"/>
      </w:pPr>
      <w:r>
        <w:rPr>
          <w:b/>
          <w:bCs/>
          <w:sz w:val="24"/>
          <w:szCs w:val="24"/>
          <w:lang w:val="mn-MN"/>
        </w:rPr>
        <w:t xml:space="preserve">ХУУЛЬ ЗҮЙН БАЙНГЫН ХОРООНЫ 2014 ОНЫ 01 ДҮГЭЭР </w:t>
      </w:r>
    </w:p>
    <w:p>
      <w:pPr>
        <w:pStyle w:val="style0"/>
        <w:spacing w:after="0" w:before="0" w:line="100" w:lineRule="atLeast"/>
        <w:contextualSpacing w:val="false"/>
        <w:jc w:val="center"/>
      </w:pPr>
      <w:r>
        <w:rPr>
          <w:b/>
          <w:bCs/>
          <w:sz w:val="24"/>
          <w:szCs w:val="24"/>
          <w:lang w:val="mn-MN"/>
        </w:rPr>
        <w:t>САРЫН 24-НИЙ ӨДРИЙН ХУРАЛДААНЫ</w:t>
      </w:r>
    </w:p>
    <w:p>
      <w:pPr>
        <w:pStyle w:val="style0"/>
        <w:spacing w:after="0" w:before="0" w:line="100" w:lineRule="atLeast"/>
        <w:contextualSpacing w:val="false"/>
        <w:jc w:val="center"/>
      </w:pPr>
      <w:bookmarkStart w:id="1" w:name="__DdeLink__2720_1545096974"/>
      <w:r>
        <w:rPr>
          <w:b/>
          <w:bCs/>
          <w:sz w:val="24"/>
          <w:szCs w:val="24"/>
          <w:lang w:val="mn-MN"/>
        </w:rPr>
        <w:t xml:space="preserve"> </w:t>
      </w:r>
      <w:bookmarkEnd w:id="1"/>
      <w:r>
        <w:rPr>
          <w:b/>
          <w:bCs/>
          <w:sz w:val="24"/>
          <w:szCs w:val="24"/>
          <w:lang w:val="mn-MN"/>
        </w:rPr>
        <w:t>ДЭЛГЭРЭНГҮЙ ТЭМДЭГЛЭЛ</w:t>
      </w:r>
    </w:p>
    <w:p>
      <w:pPr>
        <w:pStyle w:val="style22"/>
        <w:spacing w:line="100" w:lineRule="atLeast"/>
        <w:jc w:val="center"/>
      </w:pPr>
      <w:r>
        <w:rPr/>
      </w:r>
    </w:p>
    <w:p>
      <w:pPr>
        <w:pStyle w:val="style22"/>
        <w:spacing w:line="100" w:lineRule="atLeast"/>
        <w:jc w:val="both"/>
      </w:pPr>
      <w:r>
        <w:rPr>
          <w:sz w:val="24"/>
          <w:szCs w:val="24"/>
        </w:rPr>
        <w:tab/>
      </w:r>
      <w:r>
        <w:rPr>
          <w:rFonts w:cs="Arial"/>
          <w:b/>
          <w:sz w:val="24"/>
          <w:szCs w:val="24"/>
        </w:rPr>
        <w:tab/>
      </w:r>
      <w:r>
        <w:rPr>
          <w:rFonts w:cs="Arial"/>
          <w:b/>
          <w:sz w:val="24"/>
          <w:szCs w:val="24"/>
          <w:lang w:val="mn-MN"/>
        </w:rPr>
        <w:t>Ш.Түвдэндорж:</w:t>
      </w:r>
      <w:r>
        <w:rPr>
          <w:rFonts w:cs="Arial"/>
          <w:sz w:val="24"/>
          <w:szCs w:val="24"/>
          <w:lang w:val="mn-MN"/>
        </w:rPr>
        <w:t xml:space="preserve"> -Хууль зүйн байнгын хорооны гишүүдийн энэ өдрийн амгаланг ирье. Ирэх ёстой 19 гишүүнээс 11 гишүүн ирсэн тул хурлыг нээснийг мэдэгдье.  </w:t>
      </w:r>
    </w:p>
    <w:p>
      <w:pPr>
        <w:pStyle w:val="style0"/>
        <w:spacing w:line="100" w:lineRule="atLeast"/>
        <w:jc w:val="both"/>
      </w:pPr>
      <w:r>
        <w:rPr>
          <w:rFonts w:cs="Arial"/>
          <w:sz w:val="24"/>
          <w:szCs w:val="24"/>
          <w:lang w:val="mn-MN"/>
        </w:rPr>
        <w:tab/>
        <w:t xml:space="preserve">Хэлэлцэх асуудал Эрүүгийн байцаан шийтгэх хуульд нэмэлт, өөрчлөлт оруулах тухай, прокурорын байгууллагын тухай хуульд өөрчлөлт оруулах тухай хуулийн төслүүд. Хууль батлагдсантай холбогдуулж авах зарим арга хэмжээний тухай Улсын Их Хурлын тогтоолын төслийг хэлэлцье. Өөр саналтай гишүүд байна уу. Байхгүй бол хэлэлцэх асуудлаа баталъя. </w:t>
      </w:r>
    </w:p>
    <w:p>
      <w:pPr>
        <w:pStyle w:val="style0"/>
        <w:spacing w:line="100" w:lineRule="atLeast"/>
        <w:jc w:val="both"/>
      </w:pPr>
      <w:r>
        <w:rPr>
          <w:rFonts w:cs="Arial"/>
          <w:sz w:val="24"/>
          <w:szCs w:val="24"/>
          <w:lang w:val="mn-MN"/>
        </w:rPr>
        <w:tab/>
        <w:t xml:space="preserve">Хэлэлцэх асуудалдаа оръё. Эрүүгийн байцаан шийтгэх хуульд нэмэлт, өөрчлөлт оруулах тухай, Прокурорын байгууллагын тухай хуульд өөрчлөлт оруулах тухай хууль батлагдсантай холбогдуулан авах зарим арга хэмжээний тухай Улсын Их Хурлын тогтоолын төслийг хэлэлцье. Монгол Улсын Их Хурлын чуулганы хуралдааны дэгийн тухай хуулийн 36 штрих 1 дэх хэсэгт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оруулахыг заасан. Энэний дагуу Авлигатай тэмцэх газраас манай Байнгын хорооны нэр дээр 2014 оны 1 сарын 24-нд 01/646 тоот албан бичиг ирүүлсэн байна. Ингээд нэгдсэн хуралдаанд Байнгын хорооны санал, дүгнэлтийг хэлэлцэн холбогдох шийдвэрээ гаргана гэж заасан байгаа. Ингээд Улсын Их Хуралд шууд ажлаа тайлагнадаг байгууллагын тухай болон Улсын Их Хурлаас тогтоол гаргахаар хуульд заасан асуудлаар гарах тогтоолын төслийг Байнгын хороо санаачилсан байгаа. </w:t>
      </w:r>
    </w:p>
    <w:p>
      <w:pPr>
        <w:pStyle w:val="style0"/>
        <w:spacing w:line="100" w:lineRule="atLeast"/>
        <w:jc w:val="both"/>
      </w:pPr>
      <w:r>
        <w:rPr>
          <w:rFonts w:cs="Arial"/>
          <w:sz w:val="24"/>
          <w:szCs w:val="24"/>
          <w:lang w:val="mn-MN"/>
        </w:rPr>
        <w:tab/>
        <w:t>Хэлэлцэж буй асуудалтай холбогдуулан танилцуулгыг Авлигатай тэмцэх газрын дарга Ганболд танилцуулна.</w:t>
      </w:r>
    </w:p>
    <w:p>
      <w:pPr>
        <w:pStyle w:val="style0"/>
        <w:spacing w:line="100" w:lineRule="atLeast"/>
        <w:jc w:val="both"/>
      </w:pPr>
      <w:r>
        <w:rPr>
          <w:rFonts w:cs="Arial"/>
          <w:sz w:val="24"/>
          <w:szCs w:val="24"/>
          <w:lang w:val="mn-MN"/>
        </w:rPr>
        <w:tab/>
      </w:r>
      <w:r>
        <w:rPr>
          <w:rFonts w:cs="Arial"/>
          <w:b/>
          <w:sz w:val="24"/>
          <w:szCs w:val="24"/>
          <w:lang w:val="mn-MN"/>
        </w:rPr>
        <w:t>Н.Ганболд:</w:t>
      </w:r>
      <w:r>
        <w:rPr>
          <w:rFonts w:cs="Arial"/>
          <w:sz w:val="24"/>
          <w:szCs w:val="24"/>
          <w:lang w:val="mn-MN"/>
        </w:rPr>
        <w:t xml:space="preserve"> -Баярлалаа. Улсын Их Хурлын дарга эрхэм гишүүд ээ. Хууль хэрэгжүүлэх арга хэмжээний тухай Улсын Их Хурлын тогтоолын төслийн тухай танилцуулж байна. Эрүүгийн байцаан шийтгэх тухай хуульд нэмэлт, өөрчлөлт оруулах тухай 2014 оны 1 сарын дугаар өдрийн хуулиар Эрүүгийн байцаан шийтгэх хуулийн 26 дугаар зүйлийн 26.1 дэх хэсэг мөн хуулийн 25 дугаар зүйлийн 27.2 дахь хэсгийг тус тус хүчингүй болсонд тооцсоноор субъектээр /тагнуул, цагдаагийн байгууллагын ажилтан хэрэг бүртгэгч, мөрдөн байцаагч, прокурор, шүүгч прокурорын байгууллагын дэргэдэх мөрдөн байцаах албаны харьяалалд байсан хэргүүд Авлигатай тэмцэх газрын мөрдөн шалгах хэргийн харьяалалд, ахуйн чанартай гэмт хэрэг нь цагдаагийн байгууллагын харьяанд тус тус шилжсэн. Энэ хууль батлагдсантай холбогдуулж Прокурорын байгууллагын тухай хуулийн зарим зүйлийг хүчингүй болсонд тооцох тухай мөн өдрийн хуулиар прокурорын байгууллагын тухай хуулийн 10 дугаар зүйл /Улсын прокурорын дэргэдэх мөрдөн байцаах алба, 45 дугаар зүйл мөрдөн байцаах албаны мөрдөн байцаагч/-ийг тус тус хүчингүй болсноор прокурорын байгууллагын дэргэдэх мөрдөн байцаах алба татан буугдсан болно. </w:t>
      </w:r>
    </w:p>
    <w:p>
      <w:pPr>
        <w:pStyle w:val="style0"/>
        <w:spacing w:line="100" w:lineRule="atLeast"/>
        <w:jc w:val="both"/>
      </w:pPr>
      <w:r>
        <w:rPr>
          <w:rFonts w:cs="Arial"/>
          <w:sz w:val="24"/>
          <w:szCs w:val="24"/>
          <w:lang w:val="mn-MN"/>
        </w:rPr>
        <w:tab/>
        <w:t xml:space="preserve">Судалгаанаас үзэхэд прокурорын байгууллагын үйл ажиллагааг Үндсэн хуульд нийцүүлэн зохицуулах зарим арга хэмжээний тухай Улсын бага хурлын 1992 оны 6 сарын 9-ний өдрийн 36 дугаар тогтоолоор прокурорын байгууллагын мөрдөн байцаах албыг орон тоо, төсөв, эд хөрөнгийн хамт Цагдаагийн ерөнхий газарт шилжүүлж байжээ. Харин прокурорын байгууллагын тухай хуулийг хэрэгжүүлэх зарим арга хэмжээний тухай Улсын Их Хурлын 2002 оны 07 дугаар сарын 04-ний өдрийн 47 дугаар тогтоолоор прокурорын байгууллагад ажиллах мөрдөн байцаагчдыг орон тоо төсөв эд хөрөнгийн хамт цагдаагийн байгууллагаас Улсын Ерөнхий прокурорын мэдэлд шилжүүлсэн байна. </w:t>
      </w:r>
    </w:p>
    <w:p>
      <w:pPr>
        <w:pStyle w:val="style0"/>
        <w:spacing w:line="100" w:lineRule="atLeast"/>
        <w:jc w:val="both"/>
      </w:pPr>
      <w:r>
        <w:rPr>
          <w:rFonts w:cs="Arial"/>
          <w:sz w:val="24"/>
          <w:szCs w:val="24"/>
          <w:lang w:val="mn-MN"/>
        </w:rPr>
        <w:tab/>
        <w:t xml:space="preserve">Прокурорын байгууллагын тухай хуулийн зарим зүйлийг хүчингүй болсонд тооцох тухай 2014 оны 01  дүгээр сарын 24-ний өдрийн хуулийн дагуу Улсын ерөнхий прокурорын дэргэдэх мөрдөн байцаах албаны орон тоог эд хөрөнгө, техник хэрэгслийн хамт Авлигатай тэмцэх газарт шилжүүлэх нь зүйтэй гэж Улсын Их Хурлын тогтоолын төсөл боловсрууллаа. Цагдаагийн байгууллага дотоодын цэргийн бүтэц бүрэлдэхүүнийг өөрчлөн тогтоосноор хүний нөөцийн шилжилт хөдөлгөөний асуудлыг дотооддоо зохицуулах шаардлагатай байгааг харгалзан Улсын ерөнхий прокурорын дэргэдэх мөрдөн байцаах албаны орон тооноос цагдаагийн байгууллагад шилжүүлэх нь зохимжгүй гэж үзэж байна. Түүнчлэн 2014 оны улсын төсвийн тодотголоор Улсын ерөнхий прокурор нь 2014 оны төсвийн багцаас мөрдөн байцаах албаны 2014 оны төсвийг Авлигатай тэмцэх газрын төсвийн багцад шилжүүлэх арга хэмжээ авахыг Монгол Улсын Засгийн газарт даалгахаар тогтоолын төсөлд тусгалаа. Баярлалаа.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-Танилцуулгатай холбоотой асуулттай гишүүн байна уу. Алга байна. Санал хэлэх гишүүн байна уу. Энхболд гишүүн. </w:t>
      </w:r>
    </w:p>
    <w:p>
      <w:pPr>
        <w:pStyle w:val="style0"/>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-Энэ нөгөө эд хөрөнгө биччихэж хөдлөх, үл хөдлөх хөрөнгө гэх байх л даа. Байшинг нь авъя гэвэл. Тэгэхгүй бол байшинг нь шилжүүлж өгөхгүй ш дээ. 1 дүгээр тогтоолын заалтаар. Зөв үг нь бол үл хөдлөх ба хөдлөх хөрөнгө гэдэг бил үү юу билээ.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-Үл хөдлөх болон эд хөрөнгө гэвэл яадаг бол. </w:t>
      </w:r>
    </w:p>
    <w:p>
      <w:pPr>
        <w:pStyle w:val="style0"/>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-Сандал, ширээ, машин, техник чинь хөдөлдөг хөрөнгө. Байшин болохоор үл хөдлөх уруу орно.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-Хөдлөх болон үл хөдлөх хөрөнгө гэх үү. Үл хөдлөх болон эд хөрөнгө гэвэл ямар вэ. </w:t>
      </w:r>
    </w:p>
    <w:p>
      <w:pPr>
        <w:pStyle w:val="style0"/>
        <w:spacing w:line="100" w:lineRule="atLeast"/>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-Ер нь энэ дээр байна шүү дээ.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-Үл хөдлөх болон эд хөрөнгө гээд явчих уу. Үл хөдлөх болон гээд нэмчихье тогтоол дээр. Тэгээд энэ нэг данс шилжүүлнэ, хүчингүй болгоно гээд нэг жоохон хугацаа авах болов уу. Өнөөдөр энэний араас 2014 оны дугаар сарын өдрийн дотор авлигатай тэмцэх газар шилжүүл гэчихсэн байгаа. </w:t>
      </w:r>
    </w:p>
    <w:p>
      <w:pPr>
        <w:pStyle w:val="style0"/>
        <w:spacing w:line="100" w:lineRule="atLeast"/>
        <w:jc w:val="both"/>
      </w:pPr>
      <w:r>
        <w:rPr>
          <w:rFonts w:cs="Arial"/>
          <w:sz w:val="24"/>
          <w:szCs w:val="24"/>
          <w:lang w:val="mn-MN"/>
        </w:rPr>
        <w:tab/>
      </w:r>
      <w:r>
        <w:rPr>
          <w:rFonts w:cs="Arial"/>
          <w:b/>
          <w:sz w:val="24"/>
          <w:szCs w:val="24"/>
          <w:lang w:val="mn-MN"/>
        </w:rPr>
        <w:t>З.Энхболд :</w:t>
      </w:r>
      <w:r>
        <w:rPr>
          <w:rFonts w:cs="Arial"/>
          <w:sz w:val="24"/>
          <w:szCs w:val="24"/>
          <w:lang w:val="mn-MN"/>
        </w:rPr>
        <w:t xml:space="preserve"> -Данс бол Төсвийн тодотгол хийсний дараа багц шилжсэний дараа гарын үсэг шилжинэ шүү дээ. Энэ нэг 2 долоо хоногийн хугацаанд шилжих хоёрдмол мөнгө нь болохоор прокурорын багцтай байгаад байдаг. Үйл ажиллагаа эд хөрөнгө нь шилжчихээд байдаг. Тэрийг бас дурдаж өгвөл. Нэгдүгээр гарын үсэг нь хэн зурах вэ гээд эхэлнэ шүү дээ. </w:t>
      </w:r>
    </w:p>
    <w:p>
      <w:pPr>
        <w:pStyle w:val="style0"/>
        <w:spacing w:line="100" w:lineRule="atLeast"/>
        <w:jc w:val="both"/>
      </w:pPr>
      <w:r>
        <w:rPr>
          <w:rFonts w:cs="Arial"/>
          <w:sz w:val="24"/>
          <w:szCs w:val="24"/>
          <w:lang w:val="mn-MN"/>
        </w:rPr>
        <w:tab/>
      </w:r>
      <w:r>
        <w:rPr>
          <w:rFonts w:cs="Arial"/>
          <w:b/>
          <w:sz w:val="24"/>
          <w:szCs w:val="24"/>
          <w:lang w:val="mn-MN"/>
        </w:rPr>
        <w:t xml:space="preserve">Р.Гончигдорж: </w:t>
      </w:r>
      <w:r>
        <w:rPr>
          <w:rFonts w:cs="Arial"/>
          <w:sz w:val="24"/>
          <w:szCs w:val="24"/>
          <w:lang w:val="mn-MN"/>
        </w:rPr>
        <w:t xml:space="preserve">-Энийг үргэлжлүүлэхэд байшин барилга нь эд хөрөнгийнхөө хувьд өмчлөгч нь тэр прокурор ерөнхийн прокурор нь өмчлөгч нь юм уу. </w:t>
      </w:r>
    </w:p>
    <w:p>
      <w:pPr>
        <w:pStyle w:val="style0"/>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-Тийм л байхдаа бодоход.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-Эсвэл одоо Төрийн өмчийн хороонд харьяалагддаг юм уу. Тэр жишээлэх юм бол Авлигатай тэмцэх газрын байшин чинь танай өмч гэж явах уу. </w:t>
      </w:r>
    </w:p>
    <w:p>
      <w:pPr>
        <w:pStyle w:val="style0"/>
        <w:spacing w:line="100" w:lineRule="atLeast"/>
        <w:jc w:val="both"/>
      </w:pPr>
      <w:r>
        <w:rPr>
          <w:rFonts w:cs="Arial"/>
          <w:sz w:val="24"/>
          <w:szCs w:val="24"/>
          <w:lang w:val="mn-MN"/>
        </w:rPr>
        <w:tab/>
      </w:r>
      <w:r>
        <w:rPr>
          <w:rFonts w:cs="Arial"/>
          <w:b/>
          <w:sz w:val="24"/>
          <w:szCs w:val="24"/>
          <w:lang w:val="mn-MN"/>
        </w:rPr>
        <w:t>Н.Ганболд:</w:t>
      </w:r>
      <w:r>
        <w:rPr>
          <w:rFonts w:cs="Arial"/>
          <w:sz w:val="24"/>
          <w:szCs w:val="24"/>
          <w:lang w:val="mn-MN"/>
        </w:rPr>
        <w:t xml:space="preserve"> -Төрийн өмчийн байр. </w:t>
      </w:r>
    </w:p>
    <w:p>
      <w:pPr>
        <w:pStyle w:val="style0"/>
        <w:spacing w:line="100" w:lineRule="atLeast"/>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-Байрны тухай бол яригдахгүй байх аа. </w:t>
      </w:r>
    </w:p>
    <w:p>
      <w:pPr>
        <w:pStyle w:val="style0"/>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-Байрны тухай Ерөнхий сайд л шилжүүлнэ. Бид нар үүрэг л өгнө шүү дээ.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-Зохион байгуулалтыг нь бол Засгийн газар хийнэ. Эсвэл хоёр байгууллага хоорондоо зохицно. </w:t>
      </w:r>
    </w:p>
    <w:p>
      <w:pPr>
        <w:pStyle w:val="style0"/>
        <w:spacing w:line="100" w:lineRule="atLeast"/>
        <w:jc w:val="both"/>
      </w:pPr>
      <w:r>
        <w:rPr>
          <w:rFonts w:cs="Arial"/>
          <w:b/>
          <w:sz w:val="24"/>
          <w:szCs w:val="24"/>
          <w:lang w:val="mn-MN"/>
        </w:rPr>
        <w:tab/>
      </w:r>
      <w:r>
        <w:rPr>
          <w:rFonts w:cs="Arial"/>
          <w:b/>
          <w:bCs/>
          <w:sz w:val="24"/>
          <w:szCs w:val="24"/>
          <w:lang w:val="mn-MN"/>
        </w:rPr>
        <w:t>Р</w:t>
      </w:r>
      <w:r>
        <w:rPr>
          <w:rFonts w:cs="Arial"/>
          <w:b/>
          <w:sz w:val="24"/>
          <w:szCs w:val="24"/>
          <w:lang w:val="mn-MN"/>
        </w:rPr>
        <w:t>.Гончигдорж:</w:t>
      </w:r>
      <w:r>
        <w:rPr>
          <w:rFonts w:cs="Arial"/>
          <w:sz w:val="24"/>
          <w:szCs w:val="24"/>
          <w:lang w:val="mn-MN"/>
        </w:rPr>
        <w:t xml:space="preserve"> -Эсвэл хөрөнгийг нь тэр газарт шилжүүлэхээр зэрэг өмчлөгдөөгүй хөрөнгийг өмчлөлтэй аваачиж байгаа юм шиг хэлбэртэй болчихож болзошгүй шүү. Тэрнийг л тодруулаарай гэж байгаа байхгүй юу даа. Тэр байшин барилгынх нь хувьд бол. Эд хөрөнгө техник хэрэгсэл гэдэг нь бол ойлгомжтой. Доторх тавилга бусад юмнууд нь гээд. Тэр бол ойлгомжтой. Байршил нь хаанахын өмчлөл байдаг юм. Тэр өмчлөл нь төрийн өмчлөл бол тэртээ тэргүй. </w:t>
      </w:r>
    </w:p>
    <w:p>
      <w:pPr>
        <w:pStyle w:val="style0"/>
        <w:spacing w:line="100" w:lineRule="atLeast"/>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-Орон тоо байр төсөв хөрөнгө гэчихгүй юу. </w:t>
      </w:r>
    </w:p>
    <w:p>
      <w:pPr>
        <w:pStyle w:val="style0"/>
        <w:spacing w:line="100" w:lineRule="atLeast"/>
        <w:jc w:val="both"/>
      </w:pPr>
      <w:r>
        <w:rPr>
          <w:rFonts w:cs="Arial"/>
          <w:sz w:val="24"/>
          <w:szCs w:val="24"/>
          <w:lang w:val="mn-MN"/>
        </w:rPr>
        <w:tab/>
      </w:r>
      <w:r>
        <w:rPr>
          <w:rFonts w:cs="Arial"/>
          <w:b/>
          <w:sz w:val="24"/>
          <w:szCs w:val="24"/>
          <w:lang w:val="mn-MN"/>
        </w:rPr>
        <w:t>Н.Ганболд:</w:t>
      </w:r>
      <w:r>
        <w:rPr>
          <w:rFonts w:cs="Arial"/>
          <w:sz w:val="24"/>
          <w:szCs w:val="24"/>
          <w:lang w:val="mn-MN"/>
        </w:rPr>
        <w:t xml:space="preserve"> -Манайх одоогоор байрны асуудал бол.</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-Гончигдорж дарга аа та тэр тогтоолын төслийг хараад өг дөө. Орон тоо төсөв гэчихээд эзэмшиж буй үл хөдлөх болон эд хөрөнгө, техник хэрэгсэл гээд явчихвал яах бол. Эзэмшиж буй гэчихье. Тэгэхгүй бол таны хэлснээр будлиан гарч магадгүй.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-Тэгвэл ингэе. Бас энэ зарим зүйл хүчингүй болсонд тооцох тухай хууль батлагдаж 2014 оны 1 сарын 24-ний өдрөөс дагаж мөрдөх болсонтой холбогдуулан дараах арга хэмжээ авахыг Засгийн газарт даалгасугай гээд энд байгаа гуравдугаархыг бол хасах хэрэгтэй. Энэ тогтоолыг тэднээс дагаж мөрдөнө гэж. Тэр нь бол тэдний өдөр ингээд тэрний дагуу хэрэгжүүлэх гээд гаргаж байгаа тогтоол шүү дээ. Тогтоолын хүчин төгөлдөр байх хугацааг тогтоолууд дээр заадаг. Тогтоол ерөнхийдөө гармагцаа нэг удаагийн арга хэмжээ учраас хүчин төгөлдөр болдог юм биш үү. Тийм учраас доод талын гурвыгаа орхиод дээд талдаа он сарууд оруулаад өг. Тэгэхгүй бол хэзээ орсон өөрчлөлт юм, хэзээ яасан юм бол гэдэг нь мэдэгдэхгүй тодорхойгүй байна шүү дээ. </w:t>
      </w:r>
    </w:p>
    <w:p>
      <w:pPr>
        <w:pStyle w:val="style0"/>
        <w:spacing w:line="100" w:lineRule="atLeast"/>
        <w:jc w:val="both"/>
      </w:pPr>
      <w:r>
        <w:rPr>
          <w:rFonts w:cs="Arial"/>
          <w:sz w:val="24"/>
          <w:szCs w:val="24"/>
          <w:lang w:val="mn-MN"/>
        </w:rPr>
        <w:tab/>
      </w:r>
      <w:r>
        <w:rPr>
          <w:rFonts w:cs="Arial"/>
          <w:b/>
          <w:sz w:val="24"/>
          <w:szCs w:val="24"/>
          <w:lang w:val="mn-MN"/>
        </w:rPr>
        <w:t>Д.Лүндээжанцан:</w:t>
      </w:r>
      <w:r>
        <w:rPr>
          <w:rFonts w:cs="Arial"/>
          <w:sz w:val="24"/>
          <w:szCs w:val="24"/>
          <w:lang w:val="mn-MN"/>
        </w:rPr>
        <w:t xml:space="preserve"> - Редакц л ярьдаг боллоо. Редакцыг нь Тамгын газар.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 Хийгдэхгүй байгаа юм аа. Яаруу юман дээр бол ингэхээс аргагүй. Одоо тэгээд он сараа 2014 оны хэднээс Авлигатай тэмцэх газар шилжүүлж дуусга гэх юм.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-Он сарыг нь хасаад орхичих уу.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-Он сарыг нь тавихгүй болохгүй шүү дээ. Боломж хэр байна. </w:t>
      </w:r>
    </w:p>
    <w:p>
      <w:pPr>
        <w:pStyle w:val="style0"/>
        <w:spacing w:line="100" w:lineRule="atLeast"/>
        <w:jc w:val="both"/>
      </w:pPr>
      <w:r>
        <w:rPr>
          <w:rFonts w:cs="Arial"/>
          <w:sz w:val="24"/>
          <w:szCs w:val="24"/>
          <w:lang w:val="mn-MN"/>
        </w:rPr>
        <w:tab/>
      </w:r>
      <w:r>
        <w:rPr>
          <w:rFonts w:cs="Arial"/>
          <w:b/>
          <w:sz w:val="24"/>
          <w:szCs w:val="24"/>
          <w:lang w:val="mn-MN"/>
        </w:rPr>
        <w:t>Н.Ганболд:</w:t>
      </w:r>
      <w:r>
        <w:rPr>
          <w:rFonts w:cs="Arial"/>
          <w:sz w:val="24"/>
          <w:szCs w:val="24"/>
          <w:lang w:val="mn-MN"/>
        </w:rPr>
        <w:t xml:space="preserve"> -Ярих уу. Би нэг асуултад хариулъя. Энэ өнөөдрөөс эхлээд өргөдөл, гомдол асуудал үргэлжлээд явж байгаа. Тэгэхээр зэрэг манай дээр бол дээрх субъектүүдтэй холбоотой өргөдөл, гомдол ирэхээр манай байгууллага тухайлбал одоо байгаа мөрдөн шалгах хэлтсийн хэмжээнд аваад шалгаад явж байна. Энэ нь тасралтгүй. Прокурорын дэргэдэх мөрдөх албаны нөхдүүд дээр өргөдөл, гомдол ирнэ бид нар үдээс хойш хэрэв тогтоол батлагдаад ингэх юм бол тэнд ажлын шугамаар Мөрдөн байцаах газрын даргыг урьсан байгаа. Прокурорын Тамгын хэлтсийн даргыг уриад ингээд зарчмын асуудлууд энэ өргөдлүүд ирэхээр харьяаллын дагуу ингэж ингэж цаад байгууллага нь хүлээж авна. Тийм учраас ийм үйл ажиллагаанд саад учрахгүй. Ажлын байран дээр нь тэнд үйл ажиллагаа явагдана.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-Тэгэхээр он сарыг нь 2 сарын 1-ий дотор гэх үү. </w:t>
      </w:r>
    </w:p>
    <w:p>
      <w:pPr>
        <w:pStyle w:val="style0"/>
        <w:spacing w:line="100" w:lineRule="atLeast"/>
        <w:jc w:val="both"/>
      </w:pPr>
      <w:r>
        <w:rPr>
          <w:rFonts w:cs="Arial"/>
          <w:sz w:val="24"/>
          <w:szCs w:val="24"/>
          <w:lang w:val="mn-MN"/>
        </w:rPr>
        <w:tab/>
      </w:r>
      <w:r>
        <w:rPr>
          <w:rFonts w:cs="Arial"/>
          <w:b/>
          <w:sz w:val="24"/>
          <w:szCs w:val="24"/>
          <w:lang w:val="mn-MN"/>
        </w:rPr>
        <w:t>Н.Ганболд:</w:t>
      </w:r>
      <w:r>
        <w:rPr>
          <w:rFonts w:cs="Arial"/>
          <w:sz w:val="24"/>
          <w:szCs w:val="24"/>
          <w:lang w:val="mn-MN"/>
        </w:rPr>
        <w:t xml:space="preserve"> -Он сарын хувьд бол би бол өнөөдрөөс ингээд хэрэв тогтоол дэмжигдвэл үйл ажиллагаа эхэлчихлээ гэж ойлгож байгаа. Хэрэв тогтоол дэмжигдвэл.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-Одоо бид нар даргаа шилжүүлж дуусах тухай асуудал нь дотор шилжүүлэх тухай асуудал  нь чухал биш, хэднээс шилжүүлэх вэ гэдэг нь чухал байна шүү дээ. Тийм учраас ерөөсөө техник хэрэгслийн хамт 2014 оны 1 сарын 24-ий өдрөөс Авлигатай тэмцэх газарт шилжүүлэх гэж тийм томьёолол нь дээр. Тэдний дотор гэдэг чинь хэзээ эхлэх нь мэдэгдэхгүй багтаа гэсэн даалгавар. Чухал байгаа нь бол одоо ингээд шилжиж эхлэх хэрэгтэй гэсэн үг шүү дээ. Тийм учраас энэнийхээ найруулгыг Улсын ерөнхий прокурорын дэргэдэх мөрдөн байцаах албыг орон тоо төсөв эзэмшиж буй эд хөрөнгө техник хэрэгслийн хамт 2004 оны 01 дүгээр сарын 24-ний өдрөөс эхлэн Авлигатай тэмцэх газарт шилжүүлэх ийм найруулгатай. Болж байна уу.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-Өөр саналтай гишүүн байна уу. </w:t>
      </w:r>
    </w:p>
    <w:p>
      <w:pPr>
        <w:pStyle w:val="style0"/>
        <w:spacing w:line="100" w:lineRule="atLeast"/>
        <w:jc w:val="both"/>
      </w:pPr>
      <w:r>
        <w:rPr>
          <w:rFonts w:cs="Arial"/>
          <w:sz w:val="24"/>
          <w:szCs w:val="24"/>
          <w:lang w:val="mn-MN"/>
        </w:rPr>
        <w:tab/>
      </w:r>
      <w:r>
        <w:rPr>
          <w:rFonts w:cs="Arial"/>
          <w:b/>
          <w:sz w:val="24"/>
          <w:szCs w:val="24"/>
          <w:lang w:val="mn-MN"/>
        </w:rPr>
        <w:t>Р.Гончигдорж:</w:t>
      </w:r>
      <w:r>
        <w:rPr>
          <w:rFonts w:cs="Arial"/>
          <w:sz w:val="24"/>
          <w:szCs w:val="24"/>
          <w:lang w:val="mn-MN"/>
        </w:rPr>
        <w:t xml:space="preserve"> -Энийг оруулаад л батлуулъя. </w:t>
      </w:r>
    </w:p>
    <w:p>
      <w:pPr>
        <w:pStyle w:val="style0"/>
        <w:spacing w:line="100" w:lineRule="atLeast"/>
        <w:jc w:val="both"/>
      </w:pPr>
      <w:r>
        <w:rPr>
          <w:rFonts w:cs="Arial"/>
          <w:sz w:val="24"/>
          <w:szCs w:val="24"/>
          <w:lang w:val="mn-MN"/>
        </w:rPr>
        <w:tab/>
      </w:r>
      <w:r>
        <w:rPr>
          <w:rFonts w:cs="Arial"/>
          <w:b/>
          <w:sz w:val="24"/>
          <w:szCs w:val="24"/>
          <w:lang w:val="mn-MN"/>
        </w:rPr>
        <w:t>Ш.Түвдэндорж:</w:t>
      </w:r>
      <w:r>
        <w:rPr>
          <w:rFonts w:cs="Arial"/>
          <w:sz w:val="24"/>
          <w:szCs w:val="24"/>
          <w:lang w:val="mn-MN"/>
        </w:rPr>
        <w:t xml:space="preserve"> -Санал хураалт явуулъя. Гишүүд асуулт асууж санал хэлж дууслаа. Одоо Эрүүгийн байцаан шийтгэх тухай хуульд нэмэлт, өөрчлөлт оруулах тухай, прокурорын байгууллагын тухай хуульд өөрчлөлт оруулах тухай хуулиуд батлагдсантай холбогдуулан авах зарим арга хэмжээний тухай Улсын Их Хурлын тогтоолын төслийг чуулганы нэгдсэн хуралдаанаар хэлэлцүүлэх нь зүйтэй гэсэн томьёоллоор санал хураая. Энэ дотор та нарт тараасан дээр 1.1 дээр Улсын ерөнхий прокурорын дэргэдэх мөрдөн байцаах албыг орон тоо, төсөв, эзэмшиж буй үл хөдлөх болон эд хөрөнгө, техник хэрэгслийн хамт 2014 оны 1 сарын 24-ий өдрөөс Авлигатай тэмцэх газарт шилжүүлэх.</w:t>
      </w:r>
    </w:p>
    <w:p>
      <w:pPr>
        <w:pStyle w:val="style0"/>
        <w:spacing w:line="100" w:lineRule="atLeast"/>
        <w:jc w:val="both"/>
      </w:pPr>
      <w:r>
        <w:rPr>
          <w:rFonts w:cs="Arial"/>
          <w:sz w:val="24"/>
          <w:szCs w:val="24"/>
          <w:lang w:val="mn-MN"/>
        </w:rPr>
        <w:tab/>
        <w:t xml:space="preserve">Тогтоолын гуравдугаар хэсгийг хасаад дээр нь оруулна. </w:t>
      </w:r>
    </w:p>
    <w:p>
      <w:pPr>
        <w:pStyle w:val="style0"/>
        <w:spacing w:line="100" w:lineRule="atLeast"/>
        <w:ind w:firstLine="720" w:left="0" w:right="0"/>
        <w:jc w:val="both"/>
      </w:pPr>
      <w:r>
        <w:rPr>
          <w:rFonts w:cs="Arial"/>
          <w:b/>
          <w:sz w:val="24"/>
          <w:szCs w:val="24"/>
          <w:lang w:val="mn-MN"/>
        </w:rPr>
        <w:t>Р.Гончигдорж:</w:t>
      </w:r>
      <w:r>
        <w:rPr>
          <w:rFonts w:cs="Arial"/>
          <w:sz w:val="24"/>
          <w:szCs w:val="24"/>
          <w:lang w:val="mn-MN"/>
        </w:rPr>
        <w:t xml:space="preserve"> -Хууль батлагдаж тэдний өдрөөс дагаж мөрдөх болсонтой холбогдуулж, </w:t>
      </w:r>
    </w:p>
    <w:p>
      <w:pPr>
        <w:pStyle w:val="style0"/>
        <w:spacing w:line="100" w:lineRule="atLeast"/>
        <w:ind w:firstLine="720" w:left="0" w:right="0"/>
        <w:jc w:val="both"/>
      </w:pPr>
      <w:r>
        <w:rPr>
          <w:rFonts w:cs="Arial"/>
          <w:b/>
          <w:sz w:val="24"/>
          <w:szCs w:val="24"/>
          <w:lang w:val="mn-MN"/>
        </w:rPr>
        <w:t>Ш.Түвдэндорж:</w:t>
      </w:r>
      <w:r>
        <w:rPr>
          <w:rFonts w:cs="Arial"/>
          <w:sz w:val="24"/>
          <w:szCs w:val="24"/>
          <w:lang w:val="mn-MN"/>
        </w:rPr>
        <w:t xml:space="preserve"> -Их Хурлаас тогтоох нь гэж. Тэр нь хоёрдугаарх нь. </w:t>
      </w:r>
    </w:p>
    <w:p>
      <w:pPr>
        <w:pStyle w:val="style0"/>
        <w:spacing w:line="100" w:lineRule="atLeast"/>
        <w:ind w:firstLine="720" w:left="0" w:right="0"/>
        <w:jc w:val="both"/>
      </w:pPr>
      <w:r>
        <w:rPr>
          <w:rFonts w:cs="Arial"/>
          <w:sz w:val="24"/>
          <w:szCs w:val="24"/>
          <w:lang w:val="mn-MN"/>
        </w:rPr>
        <w:t xml:space="preserve">Хоёрдугаарт нь энэ тогтоол гарсантай холбогдуулан прокурорын байгууллагын тухай хуулийг хэрэгжүүлэх зарим арга хэмжээний тухай Улсын Их Хурлын 2002 оны 7 сарын 4-ний өдрийн 47 дугаар тогтоолыг хүчингүй болсонд тооцсугай. Ийм хоёр заалттай тогтоолын төслийг дэмжиж байгаа гишүүд гараа өргөнө үү. Үүнд Бурмаа гишүүн, Чойжилсүрэн гишүүн, Эрдэнэ гишүүн 4 дэмжсэн байгаа. 11-11. </w:t>
      </w:r>
    </w:p>
    <w:p>
      <w:pPr>
        <w:pStyle w:val="style0"/>
        <w:spacing w:line="100" w:lineRule="atLeast"/>
        <w:ind w:firstLine="720" w:left="0" w:right="0"/>
        <w:jc w:val="both"/>
      </w:pPr>
      <w:r>
        <w:rPr>
          <w:rFonts w:cs="Arial"/>
          <w:sz w:val="24"/>
          <w:szCs w:val="24"/>
          <w:lang w:val="mn-MN"/>
        </w:rPr>
        <w:t xml:space="preserve">Чуулганы нэгдсэн хуралдаанд Байнгын хорооны санал, дүгнэлтийг Батзандан гишүүн илтгэе. Хууль зүйн байнгын хорооны энэ өдрийн хуралдаанаар хэлэлцэх асуудал дууссан тул Байнгын хорооны хуралдаан хаасныг мэдэгдье. </w:t>
      </w:r>
    </w:p>
    <w:p>
      <w:pPr>
        <w:pStyle w:val="style22"/>
        <w:spacing w:line="100" w:lineRule="atLeast"/>
        <w:jc w:val="both"/>
      </w:pPr>
      <w:r>
        <w:rPr/>
      </w:r>
    </w:p>
    <w:p>
      <w:pPr>
        <w:pStyle w:val="style35"/>
        <w:spacing w:after="0" w:before="0" w:line="200" w:lineRule="atLeast"/>
        <w:contextualSpacing w:val="false"/>
        <w:jc w:val="right"/>
      </w:pPr>
      <w:r>
        <w:rPr/>
      </w:r>
    </w:p>
    <w:p>
      <w:pPr>
        <w:pStyle w:val="style22"/>
        <w:spacing w:after="0" w:before="0" w:line="100" w:lineRule="atLeast"/>
        <w:ind w:firstLine="720" w:left="0" w:right="0"/>
        <w:contextualSpacing w:val="false"/>
        <w:jc w:val="both"/>
      </w:pPr>
      <w:r>
        <w:rPr>
          <w:b/>
          <w:sz w:val="24"/>
          <w:szCs w:val="24"/>
          <w:lang w:val="mn-MN"/>
        </w:rPr>
        <w:t xml:space="preserve">Соронзон хальснаас буулгасан: </w:t>
      </w:r>
    </w:p>
    <w:p>
      <w:pPr>
        <w:pStyle w:val="style22"/>
        <w:spacing w:after="0" w:before="0" w:line="100" w:lineRule="atLeast"/>
        <w:contextualSpacing w:val="false"/>
        <w:jc w:val="both"/>
      </w:pPr>
      <w:r>
        <w:rPr>
          <w:sz w:val="24"/>
          <w:szCs w:val="24"/>
          <w:lang w:val="mn-MN"/>
        </w:rPr>
        <w:tab/>
        <w:t xml:space="preserve">ПРОТОКОЛЫН АЛБАНЫ  </w:t>
      </w:r>
    </w:p>
    <w:p>
      <w:pPr>
        <w:pStyle w:val="style22"/>
        <w:spacing w:after="0" w:before="0" w:line="100" w:lineRule="atLeast"/>
        <w:contextualSpacing w:val="false"/>
        <w:jc w:val="both"/>
      </w:pPr>
      <w:r>
        <w:rPr>
          <w:sz w:val="24"/>
          <w:szCs w:val="24"/>
          <w:lang w:val="mn-MN"/>
        </w:rPr>
        <w:tab/>
        <w:t>ШИНЖЭЭЧ П.МЯДАГМАА</w:t>
      </w:r>
    </w:p>
    <w:p>
      <w:pPr>
        <w:pStyle w:val="style22"/>
        <w:spacing w:after="120" w:before="0" w:line="100" w:lineRule="atLeast"/>
        <w:contextualSpacing w:val="false"/>
        <w:jc w:val="both"/>
      </w:pPr>
      <w:r>
        <w:rPr/>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6</w:t>
    </w:r>
    <w:r>
      <w:fldChar w:fldCharType="end"/>
    </w:r>
  </w:p>
  <w:p>
    <w:pPr>
      <w:pStyle w:val="style28"/>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3" w:type="paragraph">
    <w:name w:val="Heading 3"/>
    <w:basedOn w:val="style21"/>
    <w:next w:val="style22"/>
    <w:pPr>
      <w:numPr>
        <w:ilvl w:val="2"/>
        <w:numId w:val="1"/>
      </w:numPr>
      <w:tabs>
        <w:tab w:leader="none" w:pos="12240" w:val="left"/>
      </w:tabs>
      <w:ind w:hanging="720" w:left="720" w:right="0"/>
      <w:outlineLvl w:val="2"/>
    </w:pPr>
    <w:rPr>
      <w:b/>
      <w:bCs/>
      <w:sz w:val="28"/>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character">
    <w:name w:val="Internet Link"/>
    <w:next w:val="style20"/>
    <w:rPr>
      <w:color w:val="000080"/>
      <w:u w:val="single"/>
      <w:lang w:bidi="en-US" w:eastAsia="en-US" w:val="en-US"/>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caption"/>
    <w:basedOn w:val="style0"/>
    <w:next w:val="style26"/>
    <w:pPr>
      <w:suppressLineNumbers/>
      <w:spacing w:after="120" w:before="120"/>
      <w:contextualSpacing w:val="false"/>
    </w:pPr>
    <w:rPr>
      <w:i/>
      <w:iC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z w:val="21"/>
      <w:szCs w:val="21"/>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z w:val="21"/>
      <w:szCs w:val="21"/>
    </w:rPr>
  </w:style>
  <w:style w:styleId="style29" w:type="paragraph">
    <w:name w:val="No Spacing"/>
    <w:next w:val="style29"/>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30" w:type="paragraph">
    <w:name w:val="List Paragraph"/>
    <w:basedOn w:val="style0"/>
    <w:next w:val="style30"/>
    <w:pPr>
      <w:spacing w:after="200" w:before="0"/>
      <w:ind w:hanging="0" w:left="720" w:right="0"/>
      <w:contextualSpacing/>
    </w:pPr>
    <w:rPr/>
  </w:style>
  <w:style w:styleId="style31" w:type="paragraph">
    <w:name w:val="endnote text"/>
    <w:basedOn w:val="style0"/>
    <w:next w:val="style31"/>
    <w:pPr>
      <w:spacing w:after="0" w:before="0" w:line="100" w:lineRule="atLeast"/>
      <w:contextualSpacing w:val="false"/>
    </w:pPr>
    <w:rPr>
      <w:sz w:val="20"/>
      <w:szCs w:val="18"/>
    </w:rPr>
  </w:style>
  <w:style w:styleId="style32" w:type="paragraph">
    <w:name w:val="no spasing"/>
    <w:basedOn w:val="style0"/>
    <w:next w:val="style32"/>
    <w:pPr>
      <w:jc w:val="center"/>
    </w:pPr>
    <w:rPr/>
  </w:style>
  <w:style w:styleId="style33" w:type="paragraph">
    <w:name w:val="nospasing"/>
    <w:basedOn w:val="style32"/>
    <w:next w:val="style33"/>
    <w:pPr/>
    <w:rPr/>
  </w:style>
  <w:style w:styleId="style34" w:type="paragraph">
    <w:name w:val="First line indent"/>
    <w:basedOn w:val="style22"/>
    <w:next w:val="style34"/>
    <w:pPr>
      <w:ind w:firstLine="283" w:left="0" w:right="0"/>
    </w:pPr>
    <w:rPr/>
  </w:style>
  <w:style w:styleId="style35" w:type="paragraph">
    <w:name w:val="Text body indent"/>
    <w:basedOn w:val="style22"/>
    <w:next w:val="style35"/>
    <w:pPr>
      <w:ind w:hanging="0" w:left="283" w:right="0"/>
    </w:pPr>
    <w:rPr/>
  </w:style>
  <w:style w:styleId="style36" w:type="paragraph">
    <w:name w:val="List 2"/>
    <w:basedOn w:val="style0"/>
    <w:next w:val="style36"/>
    <w:pPr>
      <w:spacing w:after="120" w:before="0"/>
      <w:ind w:hanging="360" w:left="720" w:right="0"/>
      <w:contextualSpacing/>
    </w:pPr>
    <w:rPr/>
  </w:style>
  <w:style w:styleId="style37" w:type="paragraph">
    <w:name w:val="Subparagraph"/>
    <w:basedOn w:val="style36"/>
    <w:next w:val="style37"/>
    <w:pPr>
      <w:tabs>
        <w:tab w:leader="none" w:pos="1296" w:val="left"/>
        <w:tab w:leader="none" w:pos="1584" w:val="left"/>
      </w:tabs>
      <w:spacing w:after="0" w:before="0" w:line="100" w:lineRule="atLeast"/>
      <w:ind w:firstLine="1008" w:left="0" w:right="0"/>
      <w:contextualSpacing w:val="false"/>
    </w:pPr>
    <w:rPr>
      <w:rFonts w:ascii="Arial Mon" w:cs="Arial Mon" w:eastAsia="Times New Roman" w:hAnsi="Arial Mon"/>
      <w:sz w:val="18"/>
      <w:szCs w:val="18"/>
    </w:rPr>
  </w:style>
  <w:style w:styleId="style38" w:type="paragraph">
    <w:name w:val="Body Text Indent 2"/>
    <w:basedOn w:val="style0"/>
    <w:next w:val="style38"/>
    <w:pPr>
      <w:spacing w:after="120" w:before="0" w:line="480" w:lineRule="auto"/>
      <w:ind w:hanging="0" w:left="360" w:right="0"/>
      <w:contextualSpacing w:val="false"/>
    </w:pPr>
    <w:rPr>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2341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ITSO</cp:lastModifiedBy>
  <cp:lastPrinted>2014-02-25T08:04:56.40Z</cp:lastPrinted>
  <dcterms:modified xsi:type="dcterms:W3CDTF">2013-05-08T06:20:00.00Z</dcterms:modified>
  <cp:revision>571</cp:revision>
</cp:coreProperties>
</file>