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DB" w:rsidRDefault="008F4CDB" w:rsidP="00D87F15">
      <w:pPr>
        <w:tabs>
          <w:tab w:val="left" w:pos="2532"/>
        </w:tabs>
        <w:spacing w:after="0" w:line="240" w:lineRule="auto"/>
        <w:rPr>
          <w:rFonts w:ascii="Arial" w:eastAsia="Times New Roman" w:hAnsi="Arial" w:cs="Arial"/>
          <w:b/>
          <w:bCs/>
          <w:color w:val="3366FF"/>
          <w:sz w:val="40"/>
          <w:szCs w:val="40"/>
          <w:lang w:val="ms-MY"/>
        </w:rPr>
      </w:pPr>
    </w:p>
    <w:p w:rsidR="00D87F15" w:rsidRDefault="00D87F15" w:rsidP="00D87F15">
      <w:pPr>
        <w:tabs>
          <w:tab w:val="left" w:pos="2532"/>
        </w:tabs>
        <w:spacing w:after="0" w:line="240" w:lineRule="auto"/>
        <w:rPr>
          <w:rFonts w:ascii="Arial" w:eastAsia="Times New Roman" w:hAnsi="Arial" w:cs="Arial"/>
          <w:b/>
          <w:bCs/>
          <w:color w:val="3366FF"/>
          <w:sz w:val="40"/>
          <w:szCs w:val="40"/>
          <w:lang w:val="ms-MY"/>
        </w:rPr>
      </w:pPr>
      <w:r w:rsidRPr="00EC5481">
        <w:rPr>
          <w:rFonts w:ascii="Calibri" w:eastAsia="Calibri" w:hAnsi="Calibri" w:cs="Mongolian Baiti"/>
          <w:noProof/>
        </w:rPr>
        <w:drawing>
          <wp:anchor distT="0" distB="0" distL="114300" distR="114300" simplePos="0" relativeHeight="251659264" behindDoc="0" locked="0" layoutInCell="1" allowOverlap="1" wp14:anchorId="1A3807D9" wp14:editId="7291D656">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F15" w:rsidRDefault="00D87F15" w:rsidP="00D87F15">
      <w:pPr>
        <w:spacing w:after="0" w:line="240" w:lineRule="auto"/>
        <w:ind w:right="-360"/>
        <w:rPr>
          <w:rFonts w:ascii="Arial" w:eastAsia="Times New Roman" w:hAnsi="Arial" w:cs="Arial"/>
          <w:b/>
          <w:bCs/>
          <w:color w:val="3366FF"/>
          <w:sz w:val="40"/>
          <w:szCs w:val="40"/>
          <w:lang w:val="ms-MY"/>
        </w:rPr>
      </w:pPr>
    </w:p>
    <w:p w:rsidR="00D87F15" w:rsidRPr="00EC5481" w:rsidRDefault="00D87F15" w:rsidP="00D87F15">
      <w:pPr>
        <w:spacing w:after="0" w:line="240" w:lineRule="auto"/>
        <w:ind w:right="-360"/>
        <w:rPr>
          <w:rFonts w:ascii="Arial" w:eastAsia="Times New Roman" w:hAnsi="Arial" w:cs="Arial"/>
          <w:b/>
          <w:bCs/>
          <w:color w:val="3366FF"/>
          <w:sz w:val="40"/>
          <w:szCs w:val="40"/>
          <w:lang w:val="ms-MY"/>
        </w:rPr>
      </w:pPr>
    </w:p>
    <w:p w:rsidR="00D87F15" w:rsidRPr="00EC5481" w:rsidRDefault="00D87F15" w:rsidP="00D87F15">
      <w:pPr>
        <w:spacing w:after="0" w:line="240" w:lineRule="auto"/>
        <w:ind w:left="-142"/>
        <w:jc w:val="center"/>
        <w:rPr>
          <w:rFonts w:ascii="Arial" w:eastAsia="Times New Roman" w:hAnsi="Arial" w:cs="Arial"/>
          <w:b/>
          <w:bCs/>
          <w:color w:val="3366FF"/>
          <w:sz w:val="32"/>
          <w:szCs w:val="32"/>
          <w:lang w:val="ms-MY"/>
        </w:rPr>
      </w:pPr>
    </w:p>
    <w:p w:rsidR="00D87F15" w:rsidRPr="00EC5481" w:rsidRDefault="00D87F15" w:rsidP="00D87F15">
      <w:pPr>
        <w:spacing w:after="0" w:line="240" w:lineRule="auto"/>
        <w:ind w:left="-142"/>
        <w:jc w:val="center"/>
        <w:rPr>
          <w:rFonts w:ascii="Times New Roman" w:eastAsia="Times New Roman" w:hAnsi="Times New Roman" w:cs="Times New Roman"/>
          <w:b/>
          <w:bCs/>
          <w:color w:val="3366FF"/>
          <w:sz w:val="32"/>
          <w:szCs w:val="32"/>
          <w:lang w:val="ms-MY"/>
        </w:rPr>
      </w:pPr>
      <w:r w:rsidRPr="00EC5481">
        <w:rPr>
          <w:rFonts w:ascii="Times New Roman" w:eastAsia="Times New Roman" w:hAnsi="Times New Roman" w:cs="Times New Roman"/>
          <w:b/>
          <w:bCs/>
          <w:color w:val="3366FF"/>
          <w:sz w:val="32"/>
          <w:szCs w:val="32"/>
          <w:lang w:val="ms-MY"/>
        </w:rPr>
        <w:t>МОНГОЛ УЛСЫН ИХ ХУРЛЫН</w:t>
      </w:r>
    </w:p>
    <w:p w:rsidR="00D87F15" w:rsidRPr="00EC5481" w:rsidRDefault="00D87F15" w:rsidP="00D87F15">
      <w:pPr>
        <w:keepNext/>
        <w:spacing w:after="0" w:line="240" w:lineRule="auto"/>
        <w:jc w:val="center"/>
        <w:outlineLvl w:val="0"/>
        <w:rPr>
          <w:rFonts w:ascii="Arial" w:eastAsia="Arial Unicode MS" w:hAnsi="Arial" w:cs="Arial"/>
          <w:b/>
          <w:bCs/>
          <w:color w:val="3366FF"/>
          <w:sz w:val="44"/>
          <w:szCs w:val="44"/>
          <w:lang w:val="ms-MY"/>
        </w:rPr>
      </w:pPr>
      <w:r w:rsidRPr="00EC5481">
        <w:rPr>
          <w:rFonts w:ascii="Times New Roman" w:eastAsia="Arial Unicode MS" w:hAnsi="Times New Roman" w:cs="Times New Roman"/>
          <w:b/>
          <w:bCs/>
          <w:color w:val="3366FF"/>
          <w:sz w:val="32"/>
          <w:szCs w:val="32"/>
          <w:lang w:val="ms-MY"/>
        </w:rPr>
        <w:t>ТОГТООЛ</w:t>
      </w:r>
    </w:p>
    <w:p w:rsidR="00D87F15" w:rsidRPr="00EC5481" w:rsidRDefault="00D87F15" w:rsidP="00D87F15">
      <w:pPr>
        <w:spacing w:after="0" w:line="240" w:lineRule="auto"/>
        <w:rPr>
          <w:rFonts w:ascii="Arial" w:eastAsia="Times New Roman" w:hAnsi="Arial" w:cs="Arial"/>
          <w:sz w:val="24"/>
          <w:szCs w:val="24"/>
          <w:lang w:val="ms-MY"/>
        </w:rPr>
      </w:pPr>
    </w:p>
    <w:p w:rsidR="00D87F15" w:rsidRDefault="00D87F15" w:rsidP="00D87F15">
      <w:pPr>
        <w:spacing w:after="0" w:line="240" w:lineRule="auto"/>
        <w:rPr>
          <w:rFonts w:ascii="Arial" w:eastAsia="Times New Roman" w:hAnsi="Arial" w:cs="Arial"/>
          <w:color w:val="3366FF"/>
          <w:sz w:val="20"/>
          <w:szCs w:val="20"/>
          <w:lang w:val="ms-MY"/>
        </w:rPr>
      </w:pPr>
      <w:r w:rsidRPr="00EC5481">
        <w:rPr>
          <w:rFonts w:ascii="Arial" w:eastAsia="Times New Roman" w:hAnsi="Arial" w:cs="Arial"/>
          <w:color w:val="3366FF"/>
          <w:sz w:val="20"/>
          <w:szCs w:val="20"/>
          <w:u w:val="single"/>
          <w:lang w:val="ms-MY"/>
        </w:rPr>
        <w:t>202</w:t>
      </w:r>
      <w:r w:rsidRPr="00EC5481">
        <w:rPr>
          <w:rFonts w:ascii="Arial" w:eastAsia="Times New Roman" w:hAnsi="Arial" w:cs="Arial"/>
          <w:color w:val="3366FF"/>
          <w:sz w:val="20"/>
          <w:szCs w:val="20"/>
          <w:u w:val="single"/>
          <w:lang w:val="mn-MN"/>
        </w:rPr>
        <w:t>5</w:t>
      </w:r>
      <w:r w:rsidRPr="00EC5481">
        <w:rPr>
          <w:rFonts w:ascii="Arial" w:eastAsia="Times New Roman" w:hAnsi="Arial" w:cs="Arial"/>
          <w:color w:val="3366FF"/>
          <w:sz w:val="20"/>
          <w:szCs w:val="20"/>
          <w:lang w:val="ms-MY"/>
        </w:rPr>
        <w:t xml:space="preserve"> оны </w:t>
      </w:r>
      <w:r w:rsidRPr="00EC5481">
        <w:rPr>
          <w:rFonts w:ascii="Arial" w:eastAsia="Times New Roman" w:hAnsi="Arial" w:cs="Arial"/>
          <w:color w:val="3366FF"/>
          <w:sz w:val="20"/>
          <w:szCs w:val="20"/>
          <w:u w:val="single"/>
          <w:lang w:val="mn-MN"/>
        </w:rPr>
        <w:t>01</w:t>
      </w:r>
      <w:r w:rsidRPr="00EC5481">
        <w:rPr>
          <w:rFonts w:ascii="Arial" w:eastAsia="Times New Roman" w:hAnsi="Arial" w:cs="Arial"/>
          <w:color w:val="3366FF"/>
          <w:sz w:val="20"/>
          <w:szCs w:val="20"/>
          <w:lang w:val="ms-MY"/>
        </w:rPr>
        <w:t xml:space="preserve"> сарын </w:t>
      </w:r>
      <w:r w:rsidRPr="00EC5481">
        <w:rPr>
          <w:rFonts w:ascii="Arial" w:eastAsia="Times New Roman" w:hAnsi="Arial" w:cs="Arial"/>
          <w:color w:val="3366FF"/>
          <w:sz w:val="20"/>
          <w:szCs w:val="20"/>
          <w:u w:val="single"/>
          <w:lang w:val="mn-MN"/>
        </w:rPr>
        <w:t>23</w:t>
      </w:r>
      <w:r w:rsidRPr="00EC5481">
        <w:rPr>
          <w:rFonts w:ascii="Arial" w:eastAsia="Times New Roman" w:hAnsi="Arial" w:cs="Arial"/>
          <w:color w:val="3366FF"/>
          <w:sz w:val="20"/>
          <w:szCs w:val="20"/>
          <w:lang w:val="ms-MY"/>
        </w:rPr>
        <w:t xml:space="preserve"> өдөр     </w:t>
      </w:r>
      <w:r w:rsidRPr="00EC5481">
        <w:rPr>
          <w:rFonts w:ascii="Arial" w:eastAsia="Times New Roman" w:hAnsi="Arial" w:cs="Arial"/>
          <w:color w:val="3366FF"/>
          <w:sz w:val="20"/>
          <w:szCs w:val="20"/>
          <w:lang w:val="mn-MN"/>
        </w:rPr>
        <w:tab/>
      </w:r>
      <w:r w:rsidRPr="00EC5481">
        <w:rPr>
          <w:rFonts w:ascii="Arial" w:eastAsia="Times New Roman" w:hAnsi="Arial" w:cs="Arial"/>
          <w:color w:val="3366FF"/>
          <w:sz w:val="20"/>
          <w:szCs w:val="20"/>
          <w:lang w:val="mn-MN"/>
        </w:rPr>
        <w:tab/>
        <w:t xml:space="preserve">            </w:t>
      </w:r>
      <w:r w:rsidRPr="00EC5481">
        <w:rPr>
          <w:rFonts w:ascii="Arial" w:eastAsia="Times New Roman" w:hAnsi="Arial" w:cs="Arial"/>
          <w:color w:val="3366FF"/>
          <w:sz w:val="20"/>
          <w:szCs w:val="20"/>
          <w:lang w:val="ms-MY"/>
        </w:rPr>
        <w:t xml:space="preserve">Дугаар </w:t>
      </w:r>
      <w:r w:rsidRPr="00EC5481">
        <w:rPr>
          <w:rFonts w:ascii="Arial" w:eastAsia="Times New Roman" w:hAnsi="Arial" w:cs="Arial"/>
          <w:color w:val="3366FF"/>
          <w:sz w:val="20"/>
          <w:szCs w:val="20"/>
          <w:u w:val="single"/>
          <w:lang w:val="mn-MN"/>
        </w:rPr>
        <w:t>16</w:t>
      </w:r>
      <w:r w:rsidRPr="00EC5481">
        <w:rPr>
          <w:rFonts w:ascii="Arial" w:eastAsia="Times New Roman" w:hAnsi="Arial" w:cs="Arial"/>
          <w:color w:val="3366FF"/>
          <w:sz w:val="20"/>
          <w:szCs w:val="20"/>
          <w:lang w:val="ms-MY"/>
        </w:rPr>
        <w:t xml:space="preserve">          </w:t>
      </w:r>
      <w:r w:rsidRPr="00EC5481">
        <w:rPr>
          <w:rFonts w:ascii="Arial" w:eastAsia="Times New Roman" w:hAnsi="Arial" w:cs="Arial"/>
          <w:color w:val="3366FF"/>
          <w:sz w:val="20"/>
          <w:szCs w:val="20"/>
          <w:lang w:val="mn-MN"/>
        </w:rPr>
        <w:t xml:space="preserve">         </w:t>
      </w:r>
      <w:r>
        <w:rPr>
          <w:rFonts w:ascii="Arial" w:eastAsia="Times New Roman" w:hAnsi="Arial" w:cs="Arial"/>
          <w:color w:val="3366FF"/>
          <w:sz w:val="20"/>
          <w:szCs w:val="20"/>
          <w:lang w:val="mn-MN"/>
        </w:rPr>
        <w:t xml:space="preserve">     </w:t>
      </w:r>
      <w:r w:rsidRPr="00EC5481">
        <w:rPr>
          <w:rFonts w:ascii="Arial" w:eastAsia="Times New Roman" w:hAnsi="Arial" w:cs="Arial"/>
          <w:color w:val="3366FF"/>
          <w:sz w:val="20"/>
          <w:szCs w:val="20"/>
          <w:lang w:val="mn-MN"/>
        </w:rPr>
        <w:t xml:space="preserve">  </w:t>
      </w:r>
      <w:r w:rsidRPr="00EC5481">
        <w:rPr>
          <w:rFonts w:ascii="Arial" w:eastAsia="Times New Roman" w:hAnsi="Arial" w:cs="Arial"/>
          <w:color w:val="3366FF"/>
          <w:sz w:val="20"/>
          <w:szCs w:val="20"/>
          <w:lang w:val="ms-MY"/>
        </w:rPr>
        <w:t>Төрийн ордон, Улаанбаатар хот</w:t>
      </w:r>
    </w:p>
    <w:p w:rsidR="00D87F15" w:rsidRDefault="00D87F15" w:rsidP="00D87F15">
      <w:pPr>
        <w:tabs>
          <w:tab w:val="left" w:pos="0"/>
        </w:tabs>
        <w:spacing w:after="0" w:line="240" w:lineRule="auto"/>
        <w:rPr>
          <w:rFonts w:ascii="Times New Roman" w:eastAsia="Times New Roman" w:hAnsi="Times New Roman" w:cs="Times New Roman"/>
          <w:sz w:val="24"/>
          <w:szCs w:val="24"/>
          <w:lang w:val="mn-MN"/>
        </w:rPr>
      </w:pPr>
    </w:p>
    <w:p w:rsidR="00D87F15" w:rsidRPr="00EC5481" w:rsidRDefault="00D87F15" w:rsidP="00D87F15">
      <w:pPr>
        <w:tabs>
          <w:tab w:val="left" w:pos="0"/>
        </w:tabs>
        <w:spacing w:after="0" w:line="240" w:lineRule="auto"/>
        <w:rPr>
          <w:rFonts w:ascii="Times New Roman" w:eastAsia="Times New Roman" w:hAnsi="Times New Roman" w:cs="Times New Roman"/>
          <w:sz w:val="24"/>
          <w:szCs w:val="24"/>
          <w:lang w:val="mn-MN"/>
        </w:rPr>
      </w:pPr>
    </w:p>
    <w:p w:rsidR="00D87F15" w:rsidRPr="00EC5481" w:rsidRDefault="00D87F15" w:rsidP="00D87F15">
      <w:pPr>
        <w:spacing w:after="0" w:line="240" w:lineRule="auto"/>
        <w:jc w:val="center"/>
        <w:rPr>
          <w:rFonts w:ascii="Arial" w:eastAsia="Calibri" w:hAnsi="Arial" w:cs="Arial"/>
          <w:b/>
          <w:bCs/>
          <w:color w:val="000000"/>
          <w:sz w:val="24"/>
          <w:szCs w:val="24"/>
          <w:lang w:val="mn-MN"/>
        </w:rPr>
      </w:pPr>
      <w:r w:rsidRPr="00EC5481">
        <w:rPr>
          <w:rFonts w:ascii="Arial" w:eastAsia="Calibri" w:hAnsi="Arial" w:cs="Arial"/>
          <w:b/>
          <w:bCs/>
          <w:color w:val="000000"/>
          <w:sz w:val="24"/>
          <w:szCs w:val="24"/>
          <w:lang w:val="mn-MN"/>
        </w:rPr>
        <w:t xml:space="preserve">   Хууль баталсантай холбогдуулан авах</w:t>
      </w:r>
    </w:p>
    <w:p w:rsidR="00D87F15" w:rsidRPr="00EC5481" w:rsidRDefault="00D87F15" w:rsidP="00D87F15">
      <w:pPr>
        <w:spacing w:after="0" w:line="240" w:lineRule="auto"/>
        <w:jc w:val="center"/>
        <w:rPr>
          <w:rFonts w:ascii="Arial" w:eastAsia="Times New Roman" w:hAnsi="Arial" w:cs="Arial"/>
          <w:b/>
          <w:bCs/>
          <w:caps/>
          <w:color w:val="000000"/>
          <w:sz w:val="24"/>
          <w:szCs w:val="24"/>
          <w:lang w:val="mn-MN"/>
        </w:rPr>
      </w:pPr>
      <w:r w:rsidRPr="00EC5481">
        <w:rPr>
          <w:rFonts w:ascii="Arial" w:eastAsia="Calibri" w:hAnsi="Arial" w:cs="Arial"/>
          <w:b/>
          <w:bCs/>
          <w:color w:val="000000"/>
          <w:sz w:val="24"/>
          <w:szCs w:val="24"/>
          <w:lang w:val="mn-MN"/>
        </w:rPr>
        <w:t xml:space="preserve">   арга хэмжээний тухай</w:t>
      </w:r>
    </w:p>
    <w:p w:rsidR="00D87F15" w:rsidRPr="00EC5481" w:rsidRDefault="00D87F15" w:rsidP="00D87F15">
      <w:pPr>
        <w:shd w:val="clear" w:color="auto" w:fill="FFFFFF"/>
        <w:spacing w:after="0" w:line="360" w:lineRule="auto"/>
        <w:jc w:val="both"/>
        <w:rPr>
          <w:rFonts w:ascii="Arial" w:eastAsia="Times New Roman" w:hAnsi="Arial" w:cs="Arial"/>
          <w:b/>
          <w:bCs/>
          <w:caps/>
          <w:color w:val="000000"/>
          <w:sz w:val="24"/>
          <w:szCs w:val="24"/>
          <w:lang w:val="mn-MN" w:eastAsia="ko-KR"/>
        </w:rPr>
      </w:pPr>
    </w:p>
    <w:p w:rsidR="00D87F15" w:rsidRPr="00EC5481" w:rsidRDefault="00D87F15" w:rsidP="00D87F15">
      <w:pPr>
        <w:spacing w:after="0" w:line="240" w:lineRule="auto"/>
        <w:ind w:firstLine="690"/>
        <w:jc w:val="both"/>
        <w:rPr>
          <w:rFonts w:ascii="Arial" w:eastAsia="Times New Roman" w:hAnsi="Arial" w:cs="Arial"/>
          <w:color w:val="000000"/>
          <w:sz w:val="24"/>
          <w:szCs w:val="24"/>
          <w:lang w:val="mn-MN"/>
        </w:rPr>
      </w:pPr>
      <w:r w:rsidRPr="00EC5481">
        <w:rPr>
          <w:rFonts w:ascii="Arial" w:eastAsia="Times New Roman" w:hAnsi="Arial" w:cs="Arial"/>
          <w:color w:val="000000"/>
          <w:sz w:val="24"/>
          <w:szCs w:val="24"/>
          <w:lang w:val="mn-MN" w:eastAsia="ko-KR"/>
        </w:rPr>
        <w:t xml:space="preserve">Монгол Улсын Их Хурлын тухай хуулийн 5 дугаар зүйлийн 5.1 дэх </w:t>
      </w:r>
      <w:r w:rsidRPr="00EC5481">
        <w:rPr>
          <w:rFonts w:ascii="Arial" w:eastAsia="Times New Roman" w:hAnsi="Arial" w:cs="Arial"/>
          <w:color w:val="000000"/>
          <w:sz w:val="24"/>
          <w:szCs w:val="24"/>
          <w:lang w:val="mn-MN"/>
        </w:rPr>
        <w:t>хэсгийг үндэслэн Монгол Улсын Их Хурлаас ТОГТООХ нь:</w:t>
      </w:r>
    </w:p>
    <w:p w:rsidR="00D87F15" w:rsidRPr="00EC5481" w:rsidRDefault="00D87F15" w:rsidP="00D87F15">
      <w:pPr>
        <w:shd w:val="clear" w:color="auto" w:fill="FFFFFF"/>
        <w:spacing w:after="0" w:line="240" w:lineRule="auto"/>
        <w:jc w:val="both"/>
        <w:rPr>
          <w:rFonts w:ascii="Arial" w:eastAsia="Times New Roman" w:hAnsi="Arial" w:cs="Arial"/>
          <w:strike/>
          <w:color w:val="000000"/>
          <w:sz w:val="24"/>
          <w:szCs w:val="24"/>
          <w:lang w:val="mn-MN" w:eastAsia="ko-KR"/>
        </w:rPr>
      </w:pPr>
    </w:p>
    <w:p w:rsidR="00D87F15" w:rsidRPr="00EC5481" w:rsidRDefault="00D87F15" w:rsidP="00D87F15">
      <w:pPr>
        <w:spacing w:after="0" w:line="240" w:lineRule="auto"/>
        <w:ind w:firstLine="720"/>
        <w:jc w:val="both"/>
        <w:rPr>
          <w:rFonts w:ascii="Arial" w:eastAsia="Calibri" w:hAnsi="Arial" w:cs="Arial"/>
          <w:color w:val="000000"/>
          <w:sz w:val="24"/>
          <w:szCs w:val="24"/>
          <w:lang w:val="mn-MN" w:eastAsia="ko-KR"/>
        </w:rPr>
      </w:pPr>
      <w:r w:rsidRPr="00EC5481">
        <w:rPr>
          <w:rFonts w:ascii="Arial" w:eastAsia="Calibri" w:hAnsi="Arial" w:cs="Arial"/>
          <w:color w:val="000000"/>
          <w:sz w:val="24"/>
          <w:szCs w:val="24"/>
          <w:lang w:val="mn-MN" w:eastAsia="ko-KR"/>
        </w:rPr>
        <w:t xml:space="preserve">1.Хархорум хотын төлөвлөлт, бүтээн байгуулалт, хөгжлийг дэмжих тухай хуулийг баталсантай холбогдуулан дараах арга хэмжээг авч хэрэгжүүлэхийг </w:t>
      </w:r>
      <w:r w:rsidRPr="00EC5481">
        <w:rPr>
          <w:rFonts w:ascii="Arial" w:eastAsia="Calibri" w:hAnsi="Arial" w:cs="Arial"/>
          <w:color w:val="000000"/>
          <w:sz w:val="24"/>
          <w:szCs w:val="24"/>
          <w:lang w:val="mn-MN"/>
        </w:rPr>
        <w:t>Монгол Улсын Засгийн газар /Л.Оюун-Эрдэнэ/-т даалгасугай</w:t>
      </w:r>
      <w:r w:rsidRPr="00EC5481">
        <w:rPr>
          <w:rFonts w:ascii="Arial" w:eastAsia="Calibri" w:hAnsi="Arial" w:cs="Arial"/>
          <w:color w:val="000000"/>
          <w:sz w:val="24"/>
          <w:szCs w:val="24"/>
          <w:lang w:val="mn-MN" w:eastAsia="ko-KR"/>
        </w:rPr>
        <w:t xml:space="preserve">:  </w:t>
      </w:r>
    </w:p>
    <w:p w:rsidR="00D87F15" w:rsidRPr="00EC5481" w:rsidRDefault="00D87F15" w:rsidP="00D87F15">
      <w:pPr>
        <w:spacing w:after="0" w:line="240" w:lineRule="auto"/>
        <w:ind w:firstLine="1440"/>
        <w:jc w:val="both"/>
        <w:rPr>
          <w:rFonts w:ascii="Arial" w:eastAsia="Calibri" w:hAnsi="Arial" w:cs="Arial"/>
          <w:color w:val="000000"/>
          <w:sz w:val="24"/>
          <w:szCs w:val="24"/>
          <w:lang w:val="mn-MN"/>
        </w:rPr>
      </w:pPr>
    </w:p>
    <w:p w:rsidR="00D87F15" w:rsidRPr="00EC5481" w:rsidRDefault="00D87F15" w:rsidP="00D87F15">
      <w:pPr>
        <w:spacing w:after="0" w:line="240" w:lineRule="auto"/>
        <w:ind w:firstLine="1440"/>
        <w:jc w:val="both"/>
        <w:rPr>
          <w:rFonts w:ascii="Arial" w:eastAsia="Calibri" w:hAnsi="Arial" w:cs="Arial"/>
          <w:color w:val="000000"/>
          <w:sz w:val="24"/>
          <w:szCs w:val="24"/>
          <w:lang w:val="mn-MN"/>
        </w:rPr>
      </w:pPr>
      <w:r w:rsidRPr="00EC5481">
        <w:rPr>
          <w:rFonts w:ascii="Arial" w:eastAsia="Calibri" w:hAnsi="Arial" w:cs="Arial"/>
          <w:color w:val="000000"/>
          <w:sz w:val="24"/>
          <w:szCs w:val="24"/>
          <w:lang w:val="mn-MN"/>
        </w:rPr>
        <w:t>1/“Хархорум” хотын төлөвлөлт, б</w:t>
      </w:r>
      <w:bookmarkStart w:id="0" w:name="_GoBack"/>
      <w:bookmarkEnd w:id="0"/>
      <w:r w:rsidRPr="00EC5481">
        <w:rPr>
          <w:rFonts w:ascii="Arial" w:eastAsia="Calibri" w:hAnsi="Arial" w:cs="Arial"/>
          <w:color w:val="000000"/>
          <w:sz w:val="24"/>
          <w:szCs w:val="24"/>
          <w:lang w:val="mn-MN"/>
        </w:rPr>
        <w:t xml:space="preserve">үтээн байгуулалтын үйл ажиллагааг Монгол Улсын урт болон дунд хугацааны хөгжлийн бодлого, төлөвлөлтийн баримт бичиг, Хархорум хотын төлөвлөлт, бүтээн байгуулалт, хөгжлийг дэмжих тухай хууль, Хархорум хотын хөгжлийн ерөнхий төлөвлөгөөнд нийцүүлэн зохион байгуулах; </w:t>
      </w:r>
    </w:p>
    <w:p w:rsidR="00D87F15" w:rsidRPr="00EC5481" w:rsidRDefault="00D87F15" w:rsidP="00D87F15">
      <w:pPr>
        <w:spacing w:after="0" w:line="240" w:lineRule="auto"/>
        <w:ind w:firstLine="1440"/>
        <w:jc w:val="both"/>
        <w:rPr>
          <w:rFonts w:ascii="Arial" w:eastAsia="Calibri" w:hAnsi="Arial" w:cs="Arial"/>
          <w:color w:val="000000"/>
          <w:sz w:val="24"/>
          <w:szCs w:val="24"/>
          <w:lang w:val="mn-MN"/>
        </w:rPr>
      </w:pPr>
    </w:p>
    <w:p w:rsidR="00D87F15" w:rsidRPr="00EC5481" w:rsidRDefault="00D87F15" w:rsidP="00D87F15">
      <w:pPr>
        <w:spacing w:after="0" w:line="240" w:lineRule="auto"/>
        <w:ind w:firstLine="1440"/>
        <w:jc w:val="both"/>
        <w:rPr>
          <w:rFonts w:ascii="Arial" w:eastAsia="Calibri" w:hAnsi="Arial" w:cs="Arial"/>
          <w:color w:val="000000"/>
          <w:sz w:val="24"/>
          <w:szCs w:val="24"/>
          <w:lang w:val="mn-MN"/>
        </w:rPr>
      </w:pPr>
      <w:r w:rsidRPr="00EC5481">
        <w:rPr>
          <w:rFonts w:ascii="Arial" w:eastAsia="Calibri" w:hAnsi="Arial" w:cs="Arial"/>
          <w:color w:val="000000"/>
          <w:sz w:val="24"/>
          <w:szCs w:val="24"/>
          <w:lang w:val="mn-MN"/>
        </w:rPr>
        <w:t xml:space="preserve">2/“Шинэ Хархорум” хотын бүтээн байгуулалтын асуудал хариуцсан захиргааны төсөв, хөрөнгө, эрх, үүрэг, бүтэц бүрэлдэхүүнийг Хархорум хотын Захирагчийн ажлын албанд шилжүүлэх; </w:t>
      </w:r>
    </w:p>
    <w:p w:rsidR="00D87F15" w:rsidRPr="00EC5481" w:rsidRDefault="00D87F15" w:rsidP="00D87F15">
      <w:pPr>
        <w:spacing w:after="0" w:line="240" w:lineRule="auto"/>
        <w:ind w:firstLine="1440"/>
        <w:jc w:val="both"/>
        <w:rPr>
          <w:rFonts w:ascii="Arial" w:eastAsia="Calibri" w:hAnsi="Arial" w:cs="Arial"/>
          <w:color w:val="000000"/>
          <w:sz w:val="24"/>
          <w:szCs w:val="24"/>
          <w:lang w:val="mn-MN"/>
        </w:rPr>
      </w:pPr>
    </w:p>
    <w:p w:rsidR="00D87F15" w:rsidRPr="00EC5481" w:rsidRDefault="00D87F15" w:rsidP="00D87F15">
      <w:pPr>
        <w:spacing w:after="0" w:line="240" w:lineRule="auto"/>
        <w:ind w:firstLine="1440"/>
        <w:jc w:val="both"/>
        <w:rPr>
          <w:rFonts w:ascii="Arial" w:eastAsia="Calibri" w:hAnsi="Arial" w:cs="Arial"/>
          <w:color w:val="000000"/>
          <w:sz w:val="24"/>
          <w:szCs w:val="24"/>
          <w:lang w:val="mn-MN"/>
        </w:rPr>
      </w:pPr>
      <w:r w:rsidRPr="00EC5481">
        <w:rPr>
          <w:rFonts w:ascii="Arial" w:eastAsia="Calibri" w:hAnsi="Arial" w:cs="Arial"/>
          <w:color w:val="000000"/>
          <w:sz w:val="24"/>
          <w:szCs w:val="24"/>
          <w:lang w:val="mn-MN"/>
        </w:rPr>
        <w:t>3/Хархорум хотын төлөвлөлт, бүтээн байгуулалт, хөгжлийг дэмжих тухай хуулийг баталсантай холбогдуулан Зөрчлийн тухай, Зөрчил шалган шийдвэрлэх тухай, Хөрөнгө оруулалтын тухай хууль болон холбогдох бусад хуульд өөрчлөлт оруулах хуулийн төслийг боловсруулан 2025 оны 03 дугаар сарын 15-ны өдрийн дотор Улсын Их Хуралд өргөн мэдүүлэх.</w:t>
      </w:r>
    </w:p>
    <w:p w:rsidR="00D87F15" w:rsidRPr="00EC5481" w:rsidRDefault="00D87F15" w:rsidP="00D87F15">
      <w:pPr>
        <w:snapToGrid w:val="0"/>
        <w:spacing w:after="0" w:line="240" w:lineRule="auto"/>
        <w:ind w:firstLine="720"/>
        <w:contextualSpacing/>
        <w:jc w:val="both"/>
        <w:rPr>
          <w:rFonts w:ascii="Arial" w:eastAsia="Times New Roman" w:hAnsi="Arial" w:cs="Arial"/>
          <w:color w:val="000000"/>
          <w:sz w:val="24"/>
          <w:szCs w:val="24"/>
          <w:lang w:val="mn-MN"/>
        </w:rPr>
      </w:pPr>
    </w:p>
    <w:p w:rsidR="00D87F15" w:rsidRPr="00EC5481" w:rsidRDefault="00D87F15" w:rsidP="00D87F15">
      <w:pPr>
        <w:snapToGrid w:val="0"/>
        <w:spacing w:after="0" w:line="240" w:lineRule="auto"/>
        <w:ind w:firstLine="720"/>
        <w:contextualSpacing/>
        <w:jc w:val="both"/>
        <w:rPr>
          <w:rFonts w:ascii="Arial" w:eastAsia="Times New Roman" w:hAnsi="Arial" w:cs="Arial"/>
          <w:color w:val="000000"/>
          <w:sz w:val="24"/>
          <w:szCs w:val="24"/>
          <w:lang w:val="mn-MN"/>
        </w:rPr>
      </w:pPr>
      <w:r w:rsidRPr="00EC5481">
        <w:rPr>
          <w:rFonts w:ascii="Arial" w:eastAsia="Times New Roman" w:hAnsi="Arial" w:cs="Arial"/>
          <w:color w:val="000000"/>
          <w:sz w:val="24"/>
          <w:szCs w:val="24"/>
          <w:lang w:val="mn-MN"/>
        </w:rPr>
        <w:t>2.Энэ тогтоолын биелэлтэд хяналт тавьж ажиллахыг Монгол Улсын Их Хурлын Төрийн байгуулалтын байнгын хороо /Ж.Бат-Эрдэнэ/, Эдийн засгийн байнгын хороо /Р.Сэддорж/-нд тус тус даалгасугай.</w:t>
      </w:r>
    </w:p>
    <w:p w:rsidR="00D87F15" w:rsidRPr="00EC5481" w:rsidRDefault="00D87F15" w:rsidP="00D87F15">
      <w:pPr>
        <w:spacing w:after="0" w:line="240" w:lineRule="auto"/>
        <w:ind w:firstLine="720"/>
        <w:jc w:val="both"/>
        <w:rPr>
          <w:rFonts w:ascii="Arial" w:eastAsia="Times New Roman" w:hAnsi="Arial" w:cs="Arial"/>
          <w:color w:val="000000"/>
          <w:sz w:val="24"/>
          <w:szCs w:val="24"/>
          <w:lang w:val="mn-MN"/>
        </w:rPr>
      </w:pPr>
    </w:p>
    <w:p w:rsidR="00D87F15" w:rsidRDefault="00D87F15" w:rsidP="00D87F15">
      <w:pPr>
        <w:spacing w:after="0" w:line="240" w:lineRule="auto"/>
        <w:ind w:firstLine="720"/>
        <w:jc w:val="both"/>
        <w:rPr>
          <w:rFonts w:ascii="Arial" w:eastAsia="Times New Roman" w:hAnsi="Arial" w:cs="Arial"/>
          <w:color w:val="000000"/>
          <w:sz w:val="24"/>
          <w:szCs w:val="24"/>
          <w:lang w:val="mn-MN"/>
        </w:rPr>
      </w:pPr>
      <w:r w:rsidRPr="00EC5481">
        <w:rPr>
          <w:rFonts w:ascii="Arial" w:eastAsia="Times New Roman" w:hAnsi="Arial" w:cs="Arial"/>
          <w:color w:val="000000"/>
          <w:sz w:val="24"/>
          <w:szCs w:val="24"/>
          <w:lang w:val="mn-MN"/>
        </w:rPr>
        <w:t>3.Энэ тогтоолыг Хархорум хотын төлөвлөлт, бүтээн байгуулалт, хөгжлийг дэмжих тухай хууль хүчин төгөлдөр болсон өдрөөс эхлэн дагаж мөрдсүгэй.</w:t>
      </w:r>
    </w:p>
    <w:p w:rsidR="00D87F15" w:rsidRDefault="00D87F15" w:rsidP="00D87F15">
      <w:pPr>
        <w:spacing w:after="0" w:line="240" w:lineRule="auto"/>
        <w:ind w:firstLine="720"/>
        <w:jc w:val="both"/>
        <w:rPr>
          <w:rFonts w:ascii="Arial" w:eastAsia="Times New Roman" w:hAnsi="Arial" w:cs="Arial"/>
          <w:color w:val="000000"/>
          <w:sz w:val="24"/>
          <w:szCs w:val="24"/>
          <w:lang w:val="mn-MN"/>
        </w:rPr>
      </w:pPr>
    </w:p>
    <w:p w:rsidR="00D87F15" w:rsidRDefault="00D87F15" w:rsidP="00D87F15">
      <w:pPr>
        <w:spacing w:after="0" w:line="240" w:lineRule="auto"/>
        <w:ind w:firstLine="720"/>
        <w:jc w:val="both"/>
        <w:rPr>
          <w:rFonts w:ascii="Arial" w:eastAsia="Times New Roman" w:hAnsi="Arial" w:cs="Arial"/>
          <w:color w:val="000000"/>
          <w:sz w:val="24"/>
          <w:szCs w:val="24"/>
          <w:lang w:val="mn-MN"/>
        </w:rPr>
      </w:pPr>
    </w:p>
    <w:p w:rsidR="00D87F15" w:rsidRPr="00EC5481" w:rsidRDefault="00D87F15" w:rsidP="00D87F15">
      <w:pPr>
        <w:spacing w:after="0" w:line="240" w:lineRule="auto"/>
        <w:ind w:firstLine="720"/>
        <w:jc w:val="both"/>
        <w:rPr>
          <w:rFonts w:ascii="Arial" w:eastAsia="Times New Roman" w:hAnsi="Arial" w:cs="Arial"/>
          <w:color w:val="000000"/>
          <w:sz w:val="24"/>
          <w:szCs w:val="24"/>
          <w:lang w:val="mn-MN"/>
        </w:rPr>
      </w:pPr>
    </w:p>
    <w:p w:rsidR="00D87F15" w:rsidRPr="00EC5481" w:rsidRDefault="00D87F15" w:rsidP="00D87F15">
      <w:pPr>
        <w:spacing w:after="0" w:line="240" w:lineRule="auto"/>
        <w:ind w:left="720" w:firstLine="720"/>
        <w:jc w:val="both"/>
        <w:textAlignment w:val="baseline"/>
        <w:rPr>
          <w:rFonts w:ascii="Arial" w:eastAsia="Calibri" w:hAnsi="Arial" w:cs="Arial"/>
          <w:sz w:val="24"/>
          <w:szCs w:val="24"/>
          <w:lang w:val="mn-MN"/>
        </w:rPr>
      </w:pPr>
      <w:r w:rsidRPr="00EC5481">
        <w:rPr>
          <w:rFonts w:ascii="Arial" w:eastAsia="Calibri" w:hAnsi="Arial" w:cs="Arial"/>
          <w:color w:val="000000"/>
          <w:sz w:val="24"/>
          <w:szCs w:val="24"/>
          <w:lang w:val="mn-MN" w:eastAsia="mn-MN"/>
        </w:rPr>
        <w:t xml:space="preserve">МОНГОЛ УЛСЫН </w:t>
      </w:r>
    </w:p>
    <w:p w:rsidR="00D87F15" w:rsidRPr="00EC5481" w:rsidRDefault="00D87F15" w:rsidP="00D87F15">
      <w:pPr>
        <w:spacing w:after="0" w:line="240" w:lineRule="auto"/>
        <w:ind w:left="720" w:firstLine="720"/>
        <w:jc w:val="both"/>
        <w:textAlignment w:val="baseline"/>
        <w:rPr>
          <w:rFonts w:ascii="Arial" w:eastAsia="Calibri" w:hAnsi="Arial" w:cs="Arial"/>
          <w:sz w:val="24"/>
          <w:szCs w:val="24"/>
          <w:lang w:val="mn-MN"/>
        </w:rPr>
      </w:pPr>
      <w:r w:rsidRPr="00EC5481">
        <w:rPr>
          <w:rFonts w:ascii="Arial" w:eastAsia="Calibri" w:hAnsi="Arial" w:cs="Arial"/>
          <w:color w:val="000000"/>
          <w:sz w:val="24"/>
          <w:szCs w:val="24"/>
          <w:lang w:val="mn-MN" w:eastAsia="mn-MN"/>
        </w:rPr>
        <w:t xml:space="preserve">ИХ ХУРЛЫН ДАРГА </w:t>
      </w:r>
      <w:r w:rsidRPr="00EC5481">
        <w:rPr>
          <w:rFonts w:ascii="Arial" w:eastAsia="Calibri" w:hAnsi="Arial" w:cs="Arial"/>
          <w:color w:val="000000"/>
          <w:sz w:val="24"/>
          <w:szCs w:val="24"/>
          <w:lang w:val="mn-MN" w:eastAsia="mn-MN"/>
        </w:rPr>
        <w:tab/>
      </w:r>
      <w:r w:rsidRPr="00EC5481">
        <w:rPr>
          <w:rFonts w:ascii="Arial" w:eastAsia="Calibri" w:hAnsi="Arial" w:cs="Arial"/>
          <w:color w:val="000000"/>
          <w:sz w:val="24"/>
          <w:szCs w:val="24"/>
          <w:lang w:val="mn-MN" w:eastAsia="mn-MN"/>
        </w:rPr>
        <w:tab/>
      </w:r>
      <w:r w:rsidRPr="00EC5481">
        <w:rPr>
          <w:rFonts w:ascii="Arial" w:eastAsia="Calibri" w:hAnsi="Arial" w:cs="Arial"/>
          <w:color w:val="000000"/>
          <w:sz w:val="24"/>
          <w:szCs w:val="24"/>
          <w:lang w:val="mn-MN" w:eastAsia="mn-MN"/>
        </w:rPr>
        <w:tab/>
        <w:t xml:space="preserve">                 Д.АМАРБАЯСГАЛАН</w:t>
      </w:r>
    </w:p>
    <w:p w:rsidR="00D87F15" w:rsidRPr="00EC5481" w:rsidRDefault="00D87F15" w:rsidP="00D87F15">
      <w:pPr>
        <w:spacing w:after="0" w:line="240" w:lineRule="auto"/>
        <w:ind w:firstLine="720"/>
        <w:jc w:val="both"/>
        <w:rPr>
          <w:rFonts w:ascii="Arial" w:eastAsia="Times New Roman" w:hAnsi="Arial" w:cs="Arial"/>
          <w:color w:val="000000"/>
          <w:sz w:val="24"/>
          <w:szCs w:val="24"/>
          <w:lang w:val="mn-MN"/>
        </w:rPr>
      </w:pPr>
    </w:p>
    <w:p w:rsidR="00D87F15" w:rsidRDefault="00D87F15" w:rsidP="00D87F15">
      <w:pPr>
        <w:spacing w:after="0" w:line="240" w:lineRule="auto"/>
        <w:jc w:val="center"/>
        <w:rPr>
          <w:rFonts w:ascii="Arial" w:eastAsia="Times New Roman" w:hAnsi="Arial" w:cs="Arial"/>
          <w:b/>
          <w:bCs/>
          <w:color w:val="000000"/>
          <w:sz w:val="24"/>
          <w:szCs w:val="24"/>
          <w:lang w:val="mn-MN"/>
        </w:rPr>
      </w:pPr>
    </w:p>
    <w:p w:rsidR="00D87F15" w:rsidRPr="00EC5481" w:rsidRDefault="00D87F15" w:rsidP="00D87F15">
      <w:pPr>
        <w:spacing w:after="0" w:line="240" w:lineRule="auto"/>
        <w:jc w:val="center"/>
        <w:rPr>
          <w:rFonts w:ascii="Arial" w:eastAsia="Times New Roman" w:hAnsi="Arial" w:cs="Arial"/>
          <w:b/>
          <w:bCs/>
          <w:color w:val="000000"/>
          <w:sz w:val="24"/>
          <w:szCs w:val="24"/>
          <w:lang w:val="mn-MN"/>
        </w:rPr>
      </w:pPr>
    </w:p>
    <w:p w:rsidR="000D14C6" w:rsidRDefault="000D14C6"/>
    <w:sectPr w:rsidR="000D14C6" w:rsidSect="00D87F15">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Unicode MS">
    <w:altName w:val="Malgun Gothic Semilight"/>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15"/>
    <w:rsid w:val="000D14C6"/>
    <w:rsid w:val="008F4CDB"/>
    <w:rsid w:val="00D87F15"/>
    <w:rsid w:val="00FA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2B9F"/>
  <w15:chartTrackingRefBased/>
  <w15:docId w15:val="{D6E278B0-DB86-45CA-BDB4-9991A5BE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2025-01-29T08:20:00Z</dcterms:created>
  <dcterms:modified xsi:type="dcterms:W3CDTF">2025-02-06T01:19:00Z</dcterms:modified>
</cp:coreProperties>
</file>