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2FD80" w14:textId="77777777" w:rsidR="00810F30" w:rsidRPr="001E1DE7" w:rsidRDefault="00810F30" w:rsidP="00810F30">
      <w:pPr>
        <w:pStyle w:val="Heading1"/>
        <w:jc w:val="both"/>
        <w:rPr>
          <w:rFonts w:ascii="Arial" w:hAnsi="Arial" w:cs="Arial"/>
          <w:lang w:val="mn-MN"/>
        </w:rPr>
      </w:pPr>
    </w:p>
    <w:p w14:paraId="67CCD0FA" w14:textId="77777777" w:rsidR="00653C4B" w:rsidRPr="001E1DE7" w:rsidRDefault="00653C4B" w:rsidP="00810F30">
      <w:pPr>
        <w:jc w:val="center"/>
        <w:rPr>
          <w:rFonts w:ascii="Arial" w:hAnsi="Arial" w:cs="Arial"/>
          <w:b/>
          <w:bCs/>
          <w:lang w:val="mn-MN"/>
        </w:rPr>
      </w:pPr>
    </w:p>
    <w:p w14:paraId="307398C6" w14:textId="63396EEB" w:rsidR="00653C4B" w:rsidRPr="001E1DE7" w:rsidRDefault="00653C4B" w:rsidP="00D30807">
      <w:pPr>
        <w:rPr>
          <w:rFonts w:ascii="Arial" w:hAnsi="Arial" w:cs="Arial"/>
          <w:b/>
          <w:bCs/>
          <w:lang w:val="mn-MN"/>
        </w:rPr>
      </w:pPr>
    </w:p>
    <w:p w14:paraId="323F7E47" w14:textId="1FF56FFE" w:rsidR="00D30807" w:rsidRPr="00DE74A6" w:rsidRDefault="00D30807" w:rsidP="00D3080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41F36A3D" wp14:editId="50747D3D">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8DC34A5" w14:textId="77777777" w:rsidR="00D30807" w:rsidRPr="00DE74A6" w:rsidRDefault="00D30807" w:rsidP="00D30807">
      <w:pPr>
        <w:pStyle w:val="Title"/>
        <w:ind w:left="-142" w:right="-360"/>
        <w:rPr>
          <w:rFonts w:ascii="Arial" w:hAnsi="Arial" w:cs="Arial"/>
          <w:sz w:val="40"/>
          <w:szCs w:val="40"/>
        </w:rPr>
      </w:pPr>
    </w:p>
    <w:p w14:paraId="42DC8964" w14:textId="77777777" w:rsidR="00D30807" w:rsidRPr="00DE74A6" w:rsidRDefault="00D30807" w:rsidP="00D30807">
      <w:pPr>
        <w:pStyle w:val="Title"/>
        <w:ind w:left="-142"/>
        <w:rPr>
          <w:rFonts w:ascii="Arial" w:hAnsi="Arial" w:cs="Arial"/>
          <w:sz w:val="32"/>
          <w:szCs w:val="32"/>
        </w:rPr>
      </w:pPr>
    </w:p>
    <w:p w14:paraId="218F86F0" w14:textId="77777777" w:rsidR="00D30807" w:rsidRPr="00B56EE4" w:rsidRDefault="00D30807" w:rsidP="00D3080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1A387537" w14:textId="77777777" w:rsidR="00D30807" w:rsidRPr="00DE74A6" w:rsidRDefault="00D30807" w:rsidP="00D30807">
      <w:pPr>
        <w:pStyle w:val="Heading1"/>
        <w:jc w:val="center"/>
        <w:rPr>
          <w:rFonts w:ascii="Arial" w:hAnsi="Arial" w:cs="Arial"/>
          <w:b w:val="0"/>
          <w:bCs w:val="0"/>
          <w:color w:val="3366FF"/>
          <w:sz w:val="44"/>
          <w:szCs w:val="44"/>
        </w:rPr>
      </w:pPr>
      <w:bookmarkStart w:id="0" w:name="_h06h22z21kh1"/>
      <w:bookmarkEnd w:id="0"/>
      <w:r w:rsidRPr="00B56EE4">
        <w:rPr>
          <w:rFonts w:ascii="Times New Roman" w:hAnsi="Times New Roman"/>
          <w:color w:val="3366FF"/>
          <w:sz w:val="32"/>
          <w:szCs w:val="32"/>
        </w:rPr>
        <w:t>ТОГТООЛ</w:t>
      </w:r>
    </w:p>
    <w:p w14:paraId="02F57229" w14:textId="77777777" w:rsidR="00D30807" w:rsidRPr="00DE74A6" w:rsidRDefault="00D30807" w:rsidP="00D30807">
      <w:pPr>
        <w:rPr>
          <w:rFonts w:ascii="Arial" w:hAnsi="Arial" w:cs="Arial"/>
          <w:lang w:val="ms-MY"/>
        </w:rPr>
      </w:pPr>
    </w:p>
    <w:p w14:paraId="1D2944B2" w14:textId="49BAE4C4" w:rsidR="00D30807" w:rsidRPr="00DE74A6" w:rsidRDefault="00D30807" w:rsidP="00D30807">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rPr>
        <w:t>5</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4</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04</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34</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533D242D" w14:textId="77777777" w:rsidR="00D30807" w:rsidRPr="00DE74A6" w:rsidRDefault="00D30807" w:rsidP="00D30807">
      <w:pPr>
        <w:jc w:val="both"/>
        <w:rPr>
          <w:rFonts w:ascii="Arial" w:hAnsi="Arial" w:cs="Arial"/>
          <w:lang w:val="ms-MY"/>
        </w:rPr>
      </w:pPr>
    </w:p>
    <w:p w14:paraId="1AB5DCF0" w14:textId="0497F01F" w:rsidR="00653C4B" w:rsidRPr="001E1DE7" w:rsidRDefault="00653C4B" w:rsidP="00D30807">
      <w:pPr>
        <w:spacing w:line="276" w:lineRule="auto"/>
        <w:rPr>
          <w:rFonts w:ascii="Arial" w:hAnsi="Arial" w:cs="Arial"/>
          <w:b/>
          <w:bCs/>
          <w:lang w:val="mn-MN"/>
        </w:rPr>
      </w:pPr>
    </w:p>
    <w:p w14:paraId="53B3D1DE" w14:textId="23F9CF91" w:rsidR="00810F30" w:rsidRPr="001E1DE7" w:rsidRDefault="0053575B" w:rsidP="00810F30">
      <w:pPr>
        <w:jc w:val="center"/>
        <w:rPr>
          <w:rFonts w:ascii="Arial" w:hAnsi="Arial" w:cs="Arial"/>
          <w:b/>
          <w:bCs/>
          <w:lang w:val="mn-MN"/>
        </w:rPr>
      </w:pPr>
      <w:r w:rsidRPr="001E1DE7">
        <w:rPr>
          <w:rFonts w:ascii="Arial" w:hAnsi="Arial" w:cs="Arial"/>
          <w:b/>
          <w:bCs/>
          <w:lang w:val="mn-MN"/>
        </w:rPr>
        <w:t xml:space="preserve">    </w:t>
      </w:r>
      <w:r w:rsidR="00810F30" w:rsidRPr="001E1DE7">
        <w:rPr>
          <w:rFonts w:ascii="Arial" w:hAnsi="Arial" w:cs="Arial"/>
          <w:b/>
          <w:bCs/>
          <w:lang w:val="mn-MN"/>
        </w:rPr>
        <w:t xml:space="preserve">Үндсэн хуулийн цэцийн 2025 оны </w:t>
      </w:r>
    </w:p>
    <w:p w14:paraId="34871E98" w14:textId="419CBED3" w:rsidR="00810F30" w:rsidRPr="001E1DE7" w:rsidRDefault="0053575B" w:rsidP="00810F30">
      <w:pPr>
        <w:jc w:val="center"/>
        <w:rPr>
          <w:rFonts w:ascii="Arial" w:hAnsi="Arial" w:cs="Arial"/>
          <w:lang w:val="mn-MN"/>
        </w:rPr>
      </w:pPr>
      <w:r w:rsidRPr="001E1DE7">
        <w:rPr>
          <w:rFonts w:ascii="Arial" w:hAnsi="Arial" w:cs="Arial"/>
          <w:b/>
          <w:bCs/>
          <w:lang w:val="mn-MN"/>
        </w:rPr>
        <w:t xml:space="preserve">    </w:t>
      </w:r>
      <w:r w:rsidR="00810F30" w:rsidRPr="001E1DE7">
        <w:rPr>
          <w:rFonts w:ascii="Arial" w:hAnsi="Arial" w:cs="Arial"/>
          <w:b/>
          <w:bCs/>
          <w:lang w:val="mn-MN"/>
        </w:rPr>
        <w:t>02 дугаар дүгнэлтийн тухай</w:t>
      </w:r>
    </w:p>
    <w:p w14:paraId="3EAD8B1B" w14:textId="77777777" w:rsidR="00810F30" w:rsidRPr="001E1DE7" w:rsidRDefault="00810F30" w:rsidP="00810F30">
      <w:pPr>
        <w:rPr>
          <w:rFonts w:ascii="Arial" w:hAnsi="Arial" w:cs="Arial"/>
          <w:lang w:val="mn-MN"/>
        </w:rPr>
      </w:pPr>
    </w:p>
    <w:p w14:paraId="22BE5524" w14:textId="77777777" w:rsidR="00810F30" w:rsidRPr="001E1DE7" w:rsidRDefault="00810F30" w:rsidP="00810F30">
      <w:pPr>
        <w:ind w:firstLine="720"/>
        <w:jc w:val="both"/>
        <w:rPr>
          <w:rFonts w:ascii="Arial" w:hAnsi="Arial" w:cs="Arial"/>
          <w:lang w:val="mn-MN"/>
        </w:rPr>
      </w:pPr>
      <w:r w:rsidRPr="001E1DE7">
        <w:rPr>
          <w:rFonts w:ascii="Arial" w:hAnsi="Arial" w:cs="Arial"/>
          <w:lang w:val="mn-MN"/>
        </w:rPr>
        <w:t>Монгол Улсын Их Хурлын чуулганы хуралдааны дэгийн тухай хуулийн 84 дүгээр зүйлийн 84.2.3 дахь заалтыг үндэслэн Монгол Улсын Их Хурлаас ТОГТООХ нь:</w:t>
      </w:r>
    </w:p>
    <w:p w14:paraId="7AD500BE" w14:textId="77777777" w:rsidR="00810F30" w:rsidRPr="001E1DE7" w:rsidRDefault="00810F30" w:rsidP="00810F30">
      <w:pPr>
        <w:ind w:firstLine="720"/>
        <w:jc w:val="both"/>
        <w:rPr>
          <w:rFonts w:ascii="Arial" w:hAnsi="Arial" w:cs="Arial"/>
          <w:lang w:val="mn-MN"/>
        </w:rPr>
      </w:pPr>
    </w:p>
    <w:p w14:paraId="588A81D7" w14:textId="77777777" w:rsidR="00810F30" w:rsidRPr="001E1DE7" w:rsidRDefault="00810F30" w:rsidP="00810F30">
      <w:pPr>
        <w:pStyle w:val="PlainText"/>
        <w:ind w:firstLine="720"/>
        <w:jc w:val="both"/>
        <w:rPr>
          <w:rFonts w:ascii="Arial" w:hAnsi="Arial" w:cs="Arial"/>
          <w:sz w:val="24"/>
          <w:szCs w:val="24"/>
          <w:lang w:val="mn-MN"/>
        </w:rPr>
      </w:pPr>
      <w:r w:rsidRPr="001E1DE7">
        <w:rPr>
          <w:rFonts w:ascii="Arial" w:hAnsi="Arial" w:cs="Arial"/>
          <w:sz w:val="24"/>
          <w:szCs w:val="24"/>
          <w:lang w:val="mn-MN"/>
        </w:rPr>
        <w:t>1.“Монгол Улсын шүүхийн тухай хуулийн 47 дугаар зүйлийн 47.6 дахь хэсэгт “… Шүүгчээр 30, түүнээс дээш жил ажилласан бөгөөд 55 насанд хүрсэн бол өндөр насны тэтгэвэр тогтоолгоно.” гэж заасан нь Монгол Улсын Үндсэн хуулийн Нэгдүгээр  зүйлийн 2 дахь хэсэгт “... шударга ёс, … хууль дээдлэх нь төрийн үйл ажиллагааны үндсэн зарчим мөн.”, Арван дөрөвдүгээр зүйлийн 1 дэх хэсэгт “Монгол Улсад хууль ёсоор оршин суугаа хүн бүр хууль, шүүхийн өмнө эрх тэгш байна.”, мөн зүйлийн 2 дахь хэсэгт “Хүнийг ... нас ...-аар нь ялгаварлан гадуурхаж үл болно. ...”, Арван есдүгээр зүйлийн 1 дэх хэсэгт “ Төрөөс … нийгэм, хууль зүйн … баталгааг бүрдүүлэх … үүргийг иргэнийхээ өмнө хариуцна.”,</w:t>
      </w:r>
      <w:r w:rsidR="00C76B89" w:rsidRPr="001E1DE7">
        <w:rPr>
          <w:rFonts w:ascii="Arial" w:hAnsi="Arial" w:cs="Arial"/>
          <w:sz w:val="24"/>
          <w:szCs w:val="24"/>
          <w:lang w:val="mn-MN"/>
        </w:rPr>
        <w:t xml:space="preserve"> </w:t>
      </w:r>
      <w:r w:rsidRPr="001E1DE7">
        <w:rPr>
          <w:rFonts w:ascii="Arial" w:hAnsi="Arial" w:cs="Arial"/>
          <w:sz w:val="24"/>
          <w:szCs w:val="24"/>
          <w:lang w:val="mn-MN"/>
        </w:rPr>
        <w:t>Тавин нэгдүгээр зүйлийн 4 дэх хэсэгт “Үндсэн хууль, шүүхийн тухай хуульд заасан үндэслэл, шүүхийн хүчин төгөлдөр шийдвэрийн дагуу огцруулах, эсхүл хүсэлтээр нь чөлөөлөхөөс бусад тохиолдолд аль ч шатны шүүхийн шүүгчийг огцруулахыг хориглоно.”, Далдугаар зүйлийн 1 дэх хэсэгт “Үндсэн хуульд хууль … бүрнээ нийцсэн байвал зохино.”</w:t>
      </w:r>
      <w:r w:rsidR="00C76B89" w:rsidRPr="001E1DE7">
        <w:rPr>
          <w:rFonts w:ascii="Arial" w:hAnsi="Arial" w:cs="Arial"/>
          <w:sz w:val="24"/>
          <w:szCs w:val="24"/>
          <w:lang w:val="mn-MN"/>
        </w:rPr>
        <w:t xml:space="preserve"> </w:t>
      </w:r>
      <w:r w:rsidRPr="001E1DE7">
        <w:rPr>
          <w:rFonts w:ascii="Arial" w:hAnsi="Arial" w:cs="Arial"/>
          <w:sz w:val="24"/>
          <w:szCs w:val="24"/>
          <w:lang w:val="mn-MN"/>
        </w:rPr>
        <w:t xml:space="preserve">гэснийг тус тус зөрчсөн байна.” гэсэн Үндсэн хуулийн цэцийн 2025 оны 02 дугаар сарын 14-ний өдрийн 02 дугаар дүгнэлтийг хүлээн зөвшөөрсүгэй. </w:t>
      </w:r>
    </w:p>
    <w:p w14:paraId="54A40905" w14:textId="77777777" w:rsidR="00810F30" w:rsidRPr="001E1DE7" w:rsidRDefault="00810F30" w:rsidP="00810F30">
      <w:pPr>
        <w:rPr>
          <w:rFonts w:ascii="Arial" w:hAnsi="Arial" w:cs="Arial"/>
          <w:lang w:val="mn-MN"/>
        </w:rPr>
      </w:pPr>
    </w:p>
    <w:p w14:paraId="33FADE95" w14:textId="77777777" w:rsidR="00810F30" w:rsidRPr="001E1DE7" w:rsidRDefault="00810F30" w:rsidP="00810F30">
      <w:pPr>
        <w:rPr>
          <w:rFonts w:ascii="Arial" w:hAnsi="Arial" w:cs="Arial"/>
          <w:lang w:val="mn-MN"/>
        </w:rPr>
      </w:pPr>
    </w:p>
    <w:p w14:paraId="188D23AB" w14:textId="77777777" w:rsidR="00653C4B" w:rsidRPr="001E1DE7" w:rsidRDefault="00653C4B" w:rsidP="00653C4B">
      <w:pPr>
        <w:jc w:val="both"/>
        <w:rPr>
          <w:rFonts w:ascii="Arial" w:hAnsi="Arial" w:cs="Arial"/>
          <w:lang w:val="mn-MN"/>
        </w:rPr>
      </w:pPr>
    </w:p>
    <w:p w14:paraId="429B7821" w14:textId="77777777" w:rsidR="00653C4B" w:rsidRPr="001E1DE7" w:rsidRDefault="00653C4B" w:rsidP="00653C4B">
      <w:pPr>
        <w:jc w:val="both"/>
        <w:rPr>
          <w:rFonts w:ascii="Arial" w:hAnsi="Arial" w:cs="Arial"/>
          <w:lang w:val="mn-MN"/>
        </w:rPr>
      </w:pPr>
    </w:p>
    <w:p w14:paraId="5540FCE3" w14:textId="799E226C" w:rsidR="00810F30" w:rsidRPr="001E1DE7" w:rsidRDefault="00653C4B" w:rsidP="00653C4B">
      <w:pPr>
        <w:ind w:left="720" w:firstLine="720"/>
        <w:jc w:val="both"/>
        <w:rPr>
          <w:rFonts w:ascii="Arial" w:hAnsi="Arial" w:cs="Arial"/>
          <w:lang w:val="mn-MN"/>
        </w:rPr>
      </w:pPr>
      <w:r w:rsidRPr="001E1DE7">
        <w:rPr>
          <w:rFonts w:ascii="Arial" w:hAnsi="Arial" w:cs="Arial"/>
          <w:lang w:val="mn-MN"/>
        </w:rPr>
        <w:t xml:space="preserve">МОНГОЛ УЛСЫН </w:t>
      </w:r>
    </w:p>
    <w:p w14:paraId="57959F95" w14:textId="00793CE7" w:rsidR="00653C4B" w:rsidRPr="001E1DE7" w:rsidRDefault="00653C4B" w:rsidP="00653C4B">
      <w:pPr>
        <w:ind w:left="720" w:firstLine="720"/>
        <w:jc w:val="both"/>
        <w:rPr>
          <w:rFonts w:ascii="Arial" w:hAnsi="Arial" w:cs="Arial"/>
          <w:lang w:val="mn-MN"/>
        </w:rPr>
      </w:pPr>
      <w:r w:rsidRPr="001E1DE7">
        <w:rPr>
          <w:rFonts w:ascii="Arial" w:hAnsi="Arial" w:cs="Arial"/>
          <w:lang w:val="mn-MN"/>
        </w:rPr>
        <w:t xml:space="preserve">ИХ ХУРЛЫН ДАРГА </w:t>
      </w:r>
      <w:r w:rsidRPr="001E1DE7">
        <w:rPr>
          <w:rFonts w:ascii="Arial" w:hAnsi="Arial" w:cs="Arial"/>
          <w:lang w:val="mn-MN"/>
        </w:rPr>
        <w:tab/>
      </w:r>
      <w:r w:rsidRPr="001E1DE7">
        <w:rPr>
          <w:rFonts w:ascii="Arial" w:hAnsi="Arial" w:cs="Arial"/>
          <w:lang w:val="mn-MN"/>
        </w:rPr>
        <w:tab/>
      </w:r>
      <w:r w:rsidRPr="001E1DE7">
        <w:rPr>
          <w:rFonts w:ascii="Arial" w:hAnsi="Arial" w:cs="Arial"/>
          <w:lang w:val="mn-MN"/>
        </w:rPr>
        <w:tab/>
      </w:r>
      <w:r w:rsidRPr="001E1DE7">
        <w:rPr>
          <w:rFonts w:ascii="Arial" w:hAnsi="Arial" w:cs="Arial"/>
          <w:lang w:val="mn-MN"/>
        </w:rPr>
        <w:tab/>
        <w:t>Д.АМАРБАЯСГАЛАН</w:t>
      </w:r>
    </w:p>
    <w:p w14:paraId="393284AE" w14:textId="77777777" w:rsidR="00810F30" w:rsidRPr="001E1DE7" w:rsidRDefault="00810F30" w:rsidP="00810F30">
      <w:pPr>
        <w:ind w:firstLine="720"/>
        <w:jc w:val="both"/>
        <w:rPr>
          <w:rFonts w:ascii="Arial" w:hAnsi="Arial" w:cs="Arial"/>
          <w:lang w:val="mn-MN"/>
        </w:rPr>
      </w:pPr>
      <w:r w:rsidRPr="001E1DE7">
        <w:rPr>
          <w:rFonts w:ascii="Arial" w:hAnsi="Arial" w:cs="Arial"/>
          <w:lang w:val="mn-MN"/>
        </w:rPr>
        <w:t xml:space="preserve">    </w:t>
      </w:r>
    </w:p>
    <w:p w14:paraId="6218D67C" w14:textId="77777777" w:rsidR="004533E2" w:rsidRPr="001E1DE7" w:rsidRDefault="004533E2" w:rsidP="004533E2">
      <w:pPr>
        <w:ind w:firstLine="720"/>
        <w:jc w:val="both"/>
        <w:rPr>
          <w:rFonts w:ascii="Arial" w:hAnsi="Arial" w:cs="Arial"/>
          <w:lang w:val="mn-MN"/>
        </w:rPr>
      </w:pPr>
      <w:r w:rsidRPr="001E1DE7">
        <w:rPr>
          <w:rFonts w:ascii="Arial" w:hAnsi="Arial" w:cs="Arial"/>
          <w:lang w:val="mn-MN"/>
        </w:rPr>
        <w:t xml:space="preserve">    </w:t>
      </w:r>
    </w:p>
    <w:p w14:paraId="6DE933A1" w14:textId="77777777" w:rsidR="004533E2" w:rsidRPr="001E1DE7" w:rsidRDefault="004533E2" w:rsidP="004533E2">
      <w:pPr>
        <w:jc w:val="both"/>
        <w:rPr>
          <w:rFonts w:ascii="Arial" w:hAnsi="Arial" w:cs="Arial"/>
          <w:lang w:val="mn-MN"/>
        </w:rPr>
      </w:pPr>
    </w:p>
    <w:p w14:paraId="266E8680" w14:textId="77777777" w:rsidR="004533E2" w:rsidRPr="001E1DE7" w:rsidRDefault="004533E2" w:rsidP="004533E2">
      <w:pPr>
        <w:jc w:val="both"/>
        <w:rPr>
          <w:rFonts w:ascii="Arial" w:hAnsi="Arial" w:cs="Arial"/>
          <w:lang w:val="mn-MN"/>
        </w:rPr>
      </w:pPr>
    </w:p>
    <w:p w14:paraId="74747C8D" w14:textId="53D2F52A" w:rsidR="004533E2" w:rsidRPr="001E1DE7" w:rsidRDefault="004533E2" w:rsidP="004533E2">
      <w:pPr>
        <w:jc w:val="both"/>
        <w:rPr>
          <w:rFonts w:ascii="Arial" w:hAnsi="Arial" w:cs="Arial"/>
          <w:lang w:val="mn-MN"/>
        </w:rPr>
      </w:pPr>
      <w:bookmarkStart w:id="1" w:name="_GoBack"/>
      <w:bookmarkEnd w:id="1"/>
    </w:p>
    <w:p w14:paraId="33DB1BF8" w14:textId="77777777" w:rsidR="004533E2" w:rsidRPr="001E1DE7" w:rsidRDefault="004533E2" w:rsidP="004533E2">
      <w:pPr>
        <w:jc w:val="both"/>
        <w:rPr>
          <w:rFonts w:ascii="Arial" w:hAnsi="Arial" w:cs="Arial"/>
          <w:lang w:val="mn-MN"/>
        </w:rPr>
      </w:pPr>
    </w:p>
    <w:p w14:paraId="77CCBE8D" w14:textId="77777777" w:rsidR="004533E2" w:rsidRPr="001E1DE7" w:rsidRDefault="004533E2" w:rsidP="004533E2">
      <w:pPr>
        <w:jc w:val="both"/>
        <w:rPr>
          <w:rFonts w:ascii="Arial" w:hAnsi="Arial" w:cs="Arial"/>
          <w:lang w:val="mn-MN"/>
        </w:rPr>
      </w:pPr>
    </w:p>
    <w:p w14:paraId="04B70FAD" w14:textId="77777777" w:rsidR="004533E2" w:rsidRPr="001E1DE7" w:rsidRDefault="004533E2" w:rsidP="004533E2">
      <w:pPr>
        <w:jc w:val="both"/>
        <w:rPr>
          <w:rFonts w:ascii="Arial" w:hAnsi="Arial" w:cs="Arial"/>
          <w:lang w:val="mn-MN"/>
        </w:rPr>
      </w:pPr>
    </w:p>
    <w:p w14:paraId="1E62BE0C" w14:textId="77777777" w:rsidR="003B0E31" w:rsidRPr="001E1DE7" w:rsidRDefault="003B0E31">
      <w:pPr>
        <w:rPr>
          <w:lang w:val="mn-MN"/>
        </w:rPr>
      </w:pPr>
    </w:p>
    <w:sectPr w:rsidR="003B0E31" w:rsidRPr="001E1DE7" w:rsidSect="00020523">
      <w:pgSz w:w="11907" w:h="16840"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panose1 w:val="020B0500000000000000"/>
    <w:charset w:val="00"/>
    <w:family w:val="swiss"/>
    <w:pitch w:val="variable"/>
    <w:sig w:usb0="00000203" w:usb1="00000000" w:usb2="00000000" w:usb3="00000000" w:csb0="00000005"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Mon">
    <w:panose1 w:val="02020500000000000000"/>
    <w:charset w:val="00"/>
    <w:family w:val="roman"/>
    <w:pitch w:val="variable"/>
    <w:sig w:usb0="00000207" w:usb1="00000000" w:usb2="00000000" w:usb3="00000000" w:csb0="00000087"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E2"/>
    <w:rsid w:val="0002364F"/>
    <w:rsid w:val="000875CA"/>
    <w:rsid w:val="00100391"/>
    <w:rsid w:val="00115BC5"/>
    <w:rsid w:val="00136130"/>
    <w:rsid w:val="00196A0F"/>
    <w:rsid w:val="001E1DE7"/>
    <w:rsid w:val="002E3C1A"/>
    <w:rsid w:val="00322724"/>
    <w:rsid w:val="0039221C"/>
    <w:rsid w:val="003B0E31"/>
    <w:rsid w:val="003B773D"/>
    <w:rsid w:val="003D1962"/>
    <w:rsid w:val="00451779"/>
    <w:rsid w:val="004533E2"/>
    <w:rsid w:val="004C2E31"/>
    <w:rsid w:val="0053575B"/>
    <w:rsid w:val="00564567"/>
    <w:rsid w:val="005A4D4E"/>
    <w:rsid w:val="0061093E"/>
    <w:rsid w:val="00611213"/>
    <w:rsid w:val="0064488C"/>
    <w:rsid w:val="00653C4B"/>
    <w:rsid w:val="00737F27"/>
    <w:rsid w:val="00782AC8"/>
    <w:rsid w:val="007D3B1D"/>
    <w:rsid w:val="00810F30"/>
    <w:rsid w:val="00855C71"/>
    <w:rsid w:val="008D7A1D"/>
    <w:rsid w:val="0096766A"/>
    <w:rsid w:val="009743C8"/>
    <w:rsid w:val="00A12060"/>
    <w:rsid w:val="00A82FBD"/>
    <w:rsid w:val="00AD7AEA"/>
    <w:rsid w:val="00BB49E7"/>
    <w:rsid w:val="00BE0BD5"/>
    <w:rsid w:val="00C323D6"/>
    <w:rsid w:val="00C66829"/>
    <w:rsid w:val="00C769A6"/>
    <w:rsid w:val="00C76B89"/>
    <w:rsid w:val="00C819E0"/>
    <w:rsid w:val="00C934B7"/>
    <w:rsid w:val="00D30807"/>
    <w:rsid w:val="00DC4B92"/>
    <w:rsid w:val="00E263C0"/>
    <w:rsid w:val="00EC536B"/>
    <w:rsid w:val="00F14E05"/>
    <w:rsid w:val="00F474C1"/>
    <w:rsid w:val="00F52378"/>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8E63"/>
  <w15:chartTrackingRefBased/>
  <w15:docId w15:val="{0DE7DA06-AFBE-4242-945B-C6D3B683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3E2"/>
    <w:rPr>
      <w:kern w:val="0"/>
      <w14:ligatures w14:val="none"/>
    </w:rPr>
  </w:style>
  <w:style w:type="paragraph" w:styleId="Heading1">
    <w:name w:val="heading 1"/>
    <w:basedOn w:val="Normal"/>
    <w:next w:val="Normal"/>
    <w:link w:val="Heading1Char"/>
    <w:qFormat/>
    <w:rsid w:val="004533E2"/>
    <w:pPr>
      <w:keepNext/>
      <w:outlineLvl w:val="0"/>
    </w:pPr>
    <w:rPr>
      <w:rFonts w:ascii="Arial Mon" w:eastAsia="Times New Roman" w:hAnsi="Arial Mo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33E2"/>
    <w:rPr>
      <w:rFonts w:ascii="Arial Mon" w:eastAsia="Times New Roman" w:hAnsi="Arial Mon" w:cs="Times New Roman"/>
      <w:b/>
      <w:bCs/>
      <w:kern w:val="0"/>
      <w:lang w:val="en-US"/>
      <w14:ligatures w14:val="none"/>
    </w:rPr>
  </w:style>
  <w:style w:type="paragraph" w:styleId="PlainText">
    <w:name w:val="Plain Text"/>
    <w:basedOn w:val="Normal"/>
    <w:link w:val="PlainTextChar"/>
    <w:rsid w:val="004533E2"/>
    <w:pPr>
      <w:autoSpaceDE w:val="0"/>
      <w:autoSpaceDN w:val="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533E2"/>
    <w:rPr>
      <w:rFonts w:ascii="Courier New" w:eastAsia="Times New Roman" w:hAnsi="Courier New" w:cs="Times New Roman"/>
      <w:kern w:val="0"/>
      <w:sz w:val="20"/>
      <w:szCs w:val="20"/>
      <w:lang w:val="en-US"/>
      <w14:ligatures w14:val="none"/>
    </w:rPr>
  </w:style>
  <w:style w:type="paragraph" w:styleId="NormalWeb">
    <w:name w:val="Normal (Web)"/>
    <w:basedOn w:val="Normal"/>
    <w:link w:val="NormalWebChar"/>
    <w:uiPriority w:val="99"/>
    <w:unhideWhenUsed/>
    <w:qFormat/>
    <w:rsid w:val="00C323D6"/>
    <w:pPr>
      <w:spacing w:before="100" w:beforeAutospacing="1" w:after="100" w:afterAutospacing="1"/>
    </w:pPr>
    <w:rPr>
      <w:rFonts w:ascii="Times New Roman" w:eastAsiaTheme="minorEastAsia" w:hAnsi="Times New Roman" w:cs="Times New Roman"/>
    </w:rPr>
  </w:style>
  <w:style w:type="character" w:customStyle="1" w:styleId="NormalWebChar">
    <w:name w:val="Normal (Web) Char"/>
    <w:link w:val="NormalWeb"/>
    <w:uiPriority w:val="99"/>
    <w:locked/>
    <w:rsid w:val="00C323D6"/>
    <w:rPr>
      <w:rFonts w:ascii="Times New Roman" w:eastAsiaTheme="minorEastAsia" w:hAnsi="Times New Roman" w:cs="Times New Roman"/>
      <w:kern w:val="0"/>
      <w:lang w:val="en-US"/>
      <w14:ligatures w14:val="none"/>
    </w:rPr>
  </w:style>
  <w:style w:type="paragraph" w:styleId="Title">
    <w:name w:val="Title"/>
    <w:basedOn w:val="Normal"/>
    <w:link w:val="TitleChar"/>
    <w:qFormat/>
    <w:rsid w:val="00D3080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D30807"/>
    <w:rPr>
      <w:rFonts w:ascii="Times New Roman Mon" w:eastAsia="Times New Roman" w:hAnsi="Times New Roman Mon" w:cs="Times New Roman"/>
      <w:b/>
      <w:bCs/>
      <w:color w:val="3366FF"/>
      <w:kern w:val="0"/>
      <w:sz w:val="44"/>
      <w:lang w:val="ms-M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2025-04-09T06:21:00Z</cp:lastPrinted>
  <dcterms:created xsi:type="dcterms:W3CDTF">2025-04-11T03:35:00Z</dcterms:created>
  <dcterms:modified xsi:type="dcterms:W3CDTF">2025-04-11T03:35:00Z</dcterms:modified>
</cp:coreProperties>
</file>