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3.xml" ContentType="application/vnd.openxmlformats-officedocument.wordprocessingml.footer+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drawings/drawing3.xml" ContentType="application/vnd.openxmlformats-officedocument.drawingml.chartshapes+xml"/>
  <Override PartName="/word/charts/chart10.xml" ContentType="application/vnd.openxmlformats-officedocument.drawingml.chart+xml"/>
  <Override PartName="/word/drawings/drawing4.xml" ContentType="application/vnd.openxmlformats-officedocument.drawingml.chartshape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8AABB" w14:textId="77777777" w:rsidR="00EB07AB" w:rsidRPr="00DE74A6" w:rsidRDefault="00EB07AB" w:rsidP="00EB07AB">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6B992FAE" wp14:editId="6EC72596">
            <wp:simplePos x="0" y="0"/>
            <wp:positionH relativeFrom="column">
              <wp:posOffset>2382520</wp:posOffset>
            </wp:positionH>
            <wp:positionV relativeFrom="paragraph">
              <wp:posOffset>-482812</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r w:rsidRPr="0002120F">
        <w:rPr>
          <w:rFonts w:ascii="Arial" w:eastAsia="Arial" w:hAnsi="Arial" w:cs="Arial"/>
          <w:color w:val="000000"/>
          <w:sz w:val="24"/>
        </w:rPr>
        <w:tab/>
      </w:r>
    </w:p>
    <w:p w14:paraId="02EA93B1" w14:textId="77777777" w:rsidR="00EB07AB" w:rsidRPr="00DE74A6" w:rsidRDefault="00EB07AB" w:rsidP="00EB07AB">
      <w:pPr>
        <w:pStyle w:val="Title"/>
        <w:ind w:left="-142" w:right="-360"/>
        <w:rPr>
          <w:rFonts w:ascii="Arial" w:hAnsi="Arial" w:cs="Arial"/>
          <w:sz w:val="40"/>
          <w:szCs w:val="40"/>
        </w:rPr>
      </w:pPr>
    </w:p>
    <w:p w14:paraId="7C3092E9" w14:textId="77777777" w:rsidR="00EB07AB" w:rsidRPr="00DE74A6" w:rsidRDefault="00EB07AB" w:rsidP="00EB07AB">
      <w:pPr>
        <w:pStyle w:val="Title"/>
        <w:ind w:left="-142"/>
        <w:rPr>
          <w:rFonts w:ascii="Arial" w:hAnsi="Arial" w:cs="Arial"/>
          <w:sz w:val="32"/>
          <w:szCs w:val="32"/>
        </w:rPr>
      </w:pPr>
    </w:p>
    <w:p w14:paraId="6E80FBE4" w14:textId="77777777" w:rsidR="00EB07AB" w:rsidRPr="00B56EE4" w:rsidRDefault="00EB07AB" w:rsidP="00EB07AB">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654C4559" w14:textId="77777777" w:rsidR="00EB07AB" w:rsidRPr="00DE74A6" w:rsidRDefault="00EB07AB" w:rsidP="00EB07AB">
      <w:pPr>
        <w:pStyle w:val="Heading1"/>
        <w:jc w:val="center"/>
        <w:rPr>
          <w:rFonts w:ascii="Arial" w:hAnsi="Arial" w:cs="Arial"/>
          <w:b w:val="0"/>
          <w:bCs/>
          <w:color w:val="3366FF"/>
          <w:sz w:val="44"/>
          <w:szCs w:val="44"/>
        </w:rPr>
      </w:pPr>
      <w:bookmarkStart w:id="0" w:name="_h06h22z21kh1"/>
      <w:bookmarkEnd w:id="0"/>
      <w:r w:rsidRPr="00B56EE4">
        <w:rPr>
          <w:rFonts w:ascii="Times New Roman" w:hAnsi="Times New Roman"/>
          <w:bCs/>
          <w:color w:val="3366FF"/>
          <w:sz w:val="32"/>
          <w:szCs w:val="32"/>
        </w:rPr>
        <w:t>ТОГТООЛ</w:t>
      </w:r>
    </w:p>
    <w:p w14:paraId="3A0D5A59" w14:textId="77777777" w:rsidR="00EB07AB" w:rsidRPr="00EB07AB" w:rsidRDefault="00EB07AB" w:rsidP="00EB07AB">
      <w:pPr>
        <w:rPr>
          <w:rFonts w:ascii="Arial" w:hAnsi="Arial" w:cs="Arial"/>
          <w:lang w:val="ms-MY"/>
        </w:rPr>
      </w:pPr>
    </w:p>
    <w:p w14:paraId="2D4FDB34" w14:textId="41A43D9E" w:rsidR="00EB07AB" w:rsidRPr="00EB07AB" w:rsidRDefault="00EB07AB" w:rsidP="00EB07AB">
      <w:pPr>
        <w:spacing w:after="0" w:line="240" w:lineRule="auto"/>
        <w:rPr>
          <w:rFonts w:ascii="Arial" w:hAnsi="Arial" w:cs="Arial"/>
          <w:sz w:val="20"/>
          <w:szCs w:val="20"/>
          <w:lang w:val="ms-MY"/>
        </w:rPr>
      </w:pPr>
      <w:r w:rsidRPr="00EB07AB">
        <w:rPr>
          <w:rFonts w:ascii="Arial" w:hAnsi="Arial" w:cs="Arial"/>
          <w:color w:val="3366FF"/>
          <w:sz w:val="20"/>
          <w:szCs w:val="20"/>
          <w:u w:val="single"/>
          <w:lang w:val="ms-MY"/>
        </w:rPr>
        <w:t>2022</w:t>
      </w:r>
      <w:r w:rsidRPr="00EB07AB">
        <w:rPr>
          <w:rFonts w:ascii="Arial" w:hAnsi="Arial" w:cs="Arial"/>
          <w:color w:val="3366FF"/>
          <w:sz w:val="20"/>
          <w:szCs w:val="20"/>
          <w:lang w:val="ms-MY"/>
        </w:rPr>
        <w:t xml:space="preserve"> оны </w:t>
      </w:r>
      <w:r w:rsidRPr="00EB07AB">
        <w:rPr>
          <w:rFonts w:ascii="Arial" w:hAnsi="Arial" w:cs="Arial"/>
          <w:color w:val="3366FF"/>
          <w:sz w:val="20"/>
          <w:szCs w:val="20"/>
          <w:u w:val="single"/>
        </w:rPr>
        <w:t>0</w:t>
      </w:r>
      <w:r>
        <w:rPr>
          <w:rFonts w:ascii="Arial" w:hAnsi="Arial" w:cs="Arial"/>
          <w:color w:val="3366FF"/>
          <w:sz w:val="20"/>
          <w:szCs w:val="20"/>
          <w:u w:val="single"/>
        </w:rPr>
        <w:t>5</w:t>
      </w:r>
      <w:r w:rsidRPr="00EB07AB">
        <w:rPr>
          <w:rFonts w:ascii="Arial" w:hAnsi="Arial" w:cs="Arial"/>
          <w:color w:val="3366FF"/>
          <w:sz w:val="20"/>
          <w:szCs w:val="20"/>
          <w:lang w:val="ms-MY"/>
        </w:rPr>
        <w:t xml:space="preserve"> сарын </w:t>
      </w:r>
      <w:r>
        <w:rPr>
          <w:rFonts w:ascii="Arial" w:hAnsi="Arial" w:cs="Arial"/>
          <w:color w:val="3366FF"/>
          <w:sz w:val="20"/>
          <w:szCs w:val="20"/>
          <w:u w:val="single"/>
        </w:rPr>
        <w:t>2</w:t>
      </w:r>
      <w:r w:rsidRPr="00EB07AB">
        <w:rPr>
          <w:rFonts w:ascii="Arial" w:hAnsi="Arial" w:cs="Arial"/>
          <w:color w:val="3366FF"/>
          <w:sz w:val="20"/>
          <w:szCs w:val="20"/>
          <w:u w:val="single"/>
        </w:rPr>
        <w:t>7</w:t>
      </w:r>
      <w:r w:rsidRPr="00EB07AB">
        <w:rPr>
          <w:rFonts w:ascii="Arial" w:hAnsi="Arial" w:cs="Arial"/>
          <w:color w:val="3366FF"/>
          <w:sz w:val="20"/>
          <w:szCs w:val="20"/>
          <w:lang w:val="ms-MY"/>
        </w:rPr>
        <w:t xml:space="preserve"> өдөр     </w:t>
      </w:r>
      <w:r w:rsidRPr="00EB07AB">
        <w:rPr>
          <w:rFonts w:ascii="Arial" w:hAnsi="Arial" w:cs="Arial"/>
          <w:color w:val="3366FF"/>
          <w:sz w:val="20"/>
          <w:szCs w:val="20"/>
        </w:rPr>
        <w:tab/>
      </w:r>
      <w:r w:rsidRPr="00EB07AB">
        <w:rPr>
          <w:rFonts w:ascii="Arial" w:hAnsi="Arial" w:cs="Arial"/>
          <w:color w:val="3366FF"/>
          <w:sz w:val="20"/>
          <w:szCs w:val="20"/>
        </w:rPr>
        <w:tab/>
        <w:t xml:space="preserve">            </w:t>
      </w:r>
      <w:r w:rsidRPr="00EB07AB">
        <w:rPr>
          <w:rFonts w:ascii="Arial" w:hAnsi="Arial" w:cs="Arial"/>
          <w:color w:val="3366FF"/>
          <w:sz w:val="20"/>
          <w:szCs w:val="20"/>
          <w:lang w:val="ms-MY"/>
        </w:rPr>
        <w:t xml:space="preserve">Дугаар </w:t>
      </w:r>
      <w:r>
        <w:rPr>
          <w:rFonts w:ascii="Arial" w:hAnsi="Arial" w:cs="Arial"/>
          <w:color w:val="3366FF"/>
          <w:sz w:val="20"/>
          <w:szCs w:val="20"/>
          <w:u w:val="single"/>
        </w:rPr>
        <w:t>26</w:t>
      </w:r>
      <w:r w:rsidRPr="00EB07AB">
        <w:rPr>
          <w:rFonts w:ascii="Arial" w:hAnsi="Arial" w:cs="Arial"/>
          <w:color w:val="3366FF"/>
          <w:sz w:val="20"/>
          <w:szCs w:val="20"/>
          <w:lang w:val="ms-MY"/>
        </w:rPr>
        <w:t xml:space="preserve">          </w:t>
      </w:r>
      <w:r w:rsidRPr="00EB07AB">
        <w:rPr>
          <w:rFonts w:ascii="Arial" w:hAnsi="Arial" w:cs="Arial"/>
          <w:color w:val="3366FF"/>
          <w:sz w:val="20"/>
          <w:szCs w:val="20"/>
        </w:rPr>
        <w:t xml:space="preserve">           </w:t>
      </w:r>
      <w:r w:rsidRPr="00EB07AB">
        <w:rPr>
          <w:rFonts w:ascii="Arial" w:hAnsi="Arial" w:cs="Arial"/>
          <w:color w:val="3366FF"/>
          <w:sz w:val="20"/>
          <w:szCs w:val="20"/>
          <w:lang w:val="ms-MY"/>
        </w:rPr>
        <w:t>Төрийн ордон, Улаанбаатар хот</w:t>
      </w:r>
    </w:p>
    <w:p w14:paraId="50B5A7DB" w14:textId="77777777" w:rsidR="004949A7" w:rsidRPr="00A56040" w:rsidRDefault="004949A7" w:rsidP="004949A7">
      <w:pPr>
        <w:spacing w:after="0" w:line="240" w:lineRule="auto"/>
        <w:rPr>
          <w:rFonts w:ascii="Arial" w:hAnsi="Arial" w:cs="Arial"/>
          <w:b/>
          <w:sz w:val="24"/>
          <w:szCs w:val="24"/>
          <w:lang w:val="mn-MN"/>
        </w:rPr>
      </w:pPr>
    </w:p>
    <w:p w14:paraId="579B663B" w14:textId="77777777" w:rsidR="004949A7" w:rsidRPr="00A56040" w:rsidRDefault="004949A7" w:rsidP="0059115F">
      <w:pPr>
        <w:spacing w:after="0" w:line="360" w:lineRule="auto"/>
        <w:jc w:val="center"/>
        <w:rPr>
          <w:rFonts w:ascii="Arial" w:hAnsi="Arial" w:cs="Arial"/>
          <w:b/>
          <w:sz w:val="24"/>
          <w:szCs w:val="24"/>
          <w:lang w:val="mn-MN"/>
        </w:rPr>
      </w:pPr>
    </w:p>
    <w:p w14:paraId="4B2A6896" w14:textId="391FD1B5" w:rsidR="004949A7" w:rsidRPr="00A56040" w:rsidRDefault="008A7D5B" w:rsidP="004949A7">
      <w:pPr>
        <w:spacing w:after="0" w:line="240" w:lineRule="auto"/>
        <w:jc w:val="center"/>
        <w:rPr>
          <w:rFonts w:ascii="Arial" w:hAnsi="Arial" w:cs="Arial"/>
          <w:b/>
          <w:sz w:val="24"/>
          <w:szCs w:val="24"/>
          <w:lang w:val="mn-MN"/>
        </w:rPr>
      </w:pPr>
      <w:r w:rsidRPr="00A56040">
        <w:rPr>
          <w:rFonts w:ascii="Arial" w:hAnsi="Arial" w:cs="Arial"/>
          <w:b/>
          <w:sz w:val="24"/>
          <w:szCs w:val="24"/>
          <w:lang w:val="mn-MN"/>
        </w:rPr>
        <w:t xml:space="preserve">  </w:t>
      </w:r>
      <w:r w:rsidR="004949A7" w:rsidRPr="00A56040">
        <w:rPr>
          <w:rFonts w:ascii="Arial" w:hAnsi="Arial" w:cs="Arial"/>
          <w:b/>
          <w:sz w:val="24"/>
          <w:szCs w:val="24"/>
          <w:lang w:val="mn-MN"/>
        </w:rPr>
        <w:t>Засгийн газрын өрийн удирдлагын</w:t>
      </w:r>
    </w:p>
    <w:p w14:paraId="33B35B63" w14:textId="14BCD9DC" w:rsidR="004949A7" w:rsidRPr="00A56040" w:rsidRDefault="008A7D5B" w:rsidP="004949A7">
      <w:pPr>
        <w:spacing w:after="0" w:line="240" w:lineRule="auto"/>
        <w:jc w:val="center"/>
        <w:rPr>
          <w:rFonts w:ascii="Arial" w:hAnsi="Arial" w:cs="Arial"/>
          <w:b/>
          <w:sz w:val="24"/>
          <w:szCs w:val="24"/>
          <w:lang w:val="mn-MN"/>
        </w:rPr>
      </w:pPr>
      <w:r w:rsidRPr="00A56040">
        <w:rPr>
          <w:rFonts w:ascii="Arial" w:hAnsi="Arial" w:cs="Arial"/>
          <w:b/>
          <w:sz w:val="24"/>
          <w:szCs w:val="24"/>
          <w:lang w:val="mn-MN"/>
        </w:rPr>
        <w:t xml:space="preserve">  </w:t>
      </w:r>
      <w:r w:rsidR="004949A7" w:rsidRPr="00A56040">
        <w:rPr>
          <w:rFonts w:ascii="Arial" w:hAnsi="Arial" w:cs="Arial"/>
          <w:b/>
          <w:sz w:val="24"/>
          <w:szCs w:val="24"/>
          <w:lang w:val="mn-MN"/>
        </w:rPr>
        <w:t>2023-2025 оны стратегийн баримт</w:t>
      </w:r>
    </w:p>
    <w:p w14:paraId="28FF0436" w14:textId="2BFE7CE1" w:rsidR="004949A7" w:rsidRPr="00A56040" w:rsidRDefault="008A7D5B" w:rsidP="004949A7">
      <w:pPr>
        <w:spacing w:after="0" w:line="240" w:lineRule="auto"/>
        <w:jc w:val="center"/>
        <w:rPr>
          <w:rFonts w:ascii="Arial" w:hAnsi="Arial" w:cs="Arial"/>
          <w:b/>
          <w:caps/>
          <w:sz w:val="24"/>
          <w:szCs w:val="24"/>
          <w:lang w:val="mn-MN"/>
        </w:rPr>
      </w:pPr>
      <w:r w:rsidRPr="00A56040">
        <w:rPr>
          <w:rFonts w:ascii="Arial" w:hAnsi="Arial" w:cs="Arial"/>
          <w:b/>
          <w:sz w:val="24"/>
          <w:szCs w:val="24"/>
          <w:lang w:val="mn-MN"/>
        </w:rPr>
        <w:t xml:space="preserve">  </w:t>
      </w:r>
      <w:r w:rsidR="004949A7" w:rsidRPr="00A56040">
        <w:rPr>
          <w:rFonts w:ascii="Arial" w:hAnsi="Arial" w:cs="Arial"/>
          <w:b/>
          <w:sz w:val="24"/>
          <w:szCs w:val="24"/>
          <w:lang w:val="mn-MN"/>
        </w:rPr>
        <w:t>бичиг батлах тухай</w:t>
      </w:r>
    </w:p>
    <w:p w14:paraId="5A51502D" w14:textId="77777777" w:rsidR="004949A7" w:rsidRPr="00A56040" w:rsidRDefault="004949A7" w:rsidP="004949A7">
      <w:pPr>
        <w:spacing w:after="0" w:line="360" w:lineRule="auto"/>
        <w:rPr>
          <w:rFonts w:ascii="Arial" w:hAnsi="Arial" w:cs="Arial"/>
          <w:b/>
          <w:caps/>
          <w:sz w:val="24"/>
          <w:szCs w:val="24"/>
          <w:lang w:val="mn-MN"/>
        </w:rPr>
      </w:pPr>
    </w:p>
    <w:p w14:paraId="7C7DAFE7" w14:textId="77777777" w:rsidR="004949A7" w:rsidRPr="00A56040" w:rsidRDefault="004949A7" w:rsidP="00B73472">
      <w:pPr>
        <w:spacing w:after="0" w:line="240" w:lineRule="auto"/>
        <w:ind w:firstLine="709"/>
        <w:jc w:val="both"/>
        <w:rPr>
          <w:rFonts w:ascii="Arial" w:hAnsi="Arial" w:cs="Arial"/>
          <w:sz w:val="24"/>
          <w:szCs w:val="24"/>
          <w:lang w:val="mn-MN"/>
        </w:rPr>
      </w:pPr>
      <w:r w:rsidRPr="00A56040">
        <w:rPr>
          <w:rFonts w:ascii="Arial" w:hAnsi="Arial" w:cs="Arial"/>
          <w:sz w:val="24"/>
          <w:szCs w:val="24"/>
          <w:lang w:val="mn-MN"/>
        </w:rPr>
        <w:t>Монгол Улсын Их Хурлын тухай хуулийн 5 дугаар зүйлийн 5.1 дэх хэсэг, Өрийн удирдлагын тухай хуулийн 7 дугаар зүйлийн 7.1.1 дэх заалтыг үндэслэн Монгол Улсын Их Хурлаас ТОГТООХ нь:</w:t>
      </w:r>
    </w:p>
    <w:p w14:paraId="7CD21DC9" w14:textId="77777777" w:rsidR="004949A7" w:rsidRPr="00A56040" w:rsidRDefault="004949A7" w:rsidP="00B73472">
      <w:pPr>
        <w:spacing w:after="0" w:line="240" w:lineRule="auto"/>
        <w:ind w:firstLine="567"/>
        <w:jc w:val="both"/>
        <w:rPr>
          <w:rFonts w:ascii="Arial" w:hAnsi="Arial" w:cs="Arial"/>
          <w:sz w:val="24"/>
          <w:szCs w:val="24"/>
          <w:lang w:val="mn-MN"/>
        </w:rPr>
      </w:pPr>
    </w:p>
    <w:p w14:paraId="23CDA560" w14:textId="77777777" w:rsidR="004949A7" w:rsidRPr="00A56040" w:rsidRDefault="004949A7" w:rsidP="00B73472">
      <w:pPr>
        <w:spacing w:after="0" w:line="240" w:lineRule="auto"/>
        <w:ind w:firstLine="709"/>
        <w:jc w:val="both"/>
        <w:rPr>
          <w:rFonts w:ascii="Arial" w:hAnsi="Arial" w:cs="Arial"/>
          <w:sz w:val="24"/>
          <w:szCs w:val="24"/>
          <w:lang w:val="mn-MN"/>
        </w:rPr>
      </w:pPr>
      <w:r w:rsidRPr="00A56040">
        <w:rPr>
          <w:rFonts w:ascii="Arial" w:hAnsi="Arial" w:cs="Arial"/>
          <w:sz w:val="24"/>
          <w:szCs w:val="24"/>
          <w:lang w:val="mn-MN"/>
        </w:rPr>
        <w:t xml:space="preserve">1.Засгийн газрын өрийн удирдлагын 2023-2025 оны стратегийн баримт бичгийг хавсралтаар баталсугай. </w:t>
      </w:r>
    </w:p>
    <w:p w14:paraId="234E295F" w14:textId="77777777" w:rsidR="004949A7" w:rsidRPr="00A56040" w:rsidRDefault="004949A7" w:rsidP="00B73472">
      <w:pPr>
        <w:spacing w:after="0" w:line="240" w:lineRule="auto"/>
        <w:ind w:firstLine="567"/>
        <w:jc w:val="both"/>
        <w:rPr>
          <w:rFonts w:ascii="Arial" w:hAnsi="Arial" w:cs="Arial"/>
          <w:sz w:val="24"/>
          <w:szCs w:val="24"/>
          <w:lang w:val="mn-MN"/>
        </w:rPr>
      </w:pPr>
    </w:p>
    <w:p w14:paraId="0895DEA8" w14:textId="77156194" w:rsidR="004949A7" w:rsidRPr="00A56040" w:rsidRDefault="004949A7" w:rsidP="00B73472">
      <w:pPr>
        <w:spacing w:after="0" w:line="240" w:lineRule="auto"/>
        <w:ind w:firstLine="709"/>
        <w:jc w:val="both"/>
        <w:rPr>
          <w:rFonts w:ascii="Arial" w:hAnsi="Arial" w:cs="Arial"/>
          <w:sz w:val="24"/>
          <w:szCs w:val="24"/>
          <w:lang w:val="mn-MN"/>
        </w:rPr>
      </w:pPr>
      <w:r w:rsidRPr="00A56040">
        <w:rPr>
          <w:rFonts w:ascii="Arial" w:hAnsi="Arial" w:cs="Arial"/>
          <w:sz w:val="24"/>
          <w:szCs w:val="24"/>
          <w:lang w:val="mn-MN"/>
        </w:rPr>
        <w:t xml:space="preserve">2.Засгийн газрын өрийн удирдлагын 2023-2025 оны стратегийн баримт бичгийн хэрэгжилтийг хангаж ажиллахыг Монгол Улсын Засгийн газар </w:t>
      </w:r>
      <w:r w:rsidR="00996C6E" w:rsidRPr="00A56040">
        <w:rPr>
          <w:rFonts w:ascii="Arial" w:hAnsi="Arial" w:cs="Arial"/>
          <w:sz w:val="24"/>
          <w:szCs w:val="24"/>
          <w:lang w:val="mn-MN"/>
        </w:rPr>
        <w:t xml:space="preserve">            </w:t>
      </w:r>
      <w:r w:rsidRPr="00A56040">
        <w:rPr>
          <w:rFonts w:ascii="Arial" w:hAnsi="Arial" w:cs="Arial"/>
          <w:sz w:val="24"/>
          <w:szCs w:val="24"/>
          <w:lang w:val="mn-MN"/>
        </w:rPr>
        <w:t>/Л.Оюун-Эрдэнэ/-т даалгасугай.</w:t>
      </w:r>
    </w:p>
    <w:p w14:paraId="19B650B4" w14:textId="0242B8AD" w:rsidR="004949A7" w:rsidRPr="00A56040" w:rsidRDefault="004949A7" w:rsidP="00B73472">
      <w:pPr>
        <w:spacing w:after="0" w:line="240" w:lineRule="auto"/>
        <w:ind w:firstLine="709"/>
        <w:jc w:val="both"/>
        <w:rPr>
          <w:rFonts w:ascii="Arial" w:hAnsi="Arial" w:cs="Arial"/>
          <w:sz w:val="24"/>
          <w:szCs w:val="24"/>
          <w:lang w:val="mn-MN"/>
        </w:rPr>
      </w:pPr>
    </w:p>
    <w:p w14:paraId="54B36990" w14:textId="01E5934F" w:rsidR="004949A7" w:rsidRPr="00A56040" w:rsidRDefault="004949A7" w:rsidP="00B73472">
      <w:pPr>
        <w:spacing w:after="0" w:line="240" w:lineRule="auto"/>
        <w:ind w:firstLine="709"/>
        <w:jc w:val="both"/>
        <w:rPr>
          <w:rFonts w:ascii="Arial" w:hAnsi="Arial" w:cs="Arial"/>
          <w:sz w:val="24"/>
          <w:szCs w:val="24"/>
          <w:lang w:val="mn-MN"/>
        </w:rPr>
      </w:pPr>
    </w:p>
    <w:p w14:paraId="5F50E795" w14:textId="3DD12D93" w:rsidR="004949A7" w:rsidRPr="00A56040" w:rsidRDefault="004949A7" w:rsidP="004949A7">
      <w:pPr>
        <w:spacing w:after="0" w:line="240" w:lineRule="auto"/>
        <w:ind w:firstLine="709"/>
        <w:jc w:val="both"/>
        <w:rPr>
          <w:rFonts w:ascii="Arial" w:hAnsi="Arial" w:cs="Arial"/>
          <w:sz w:val="24"/>
          <w:szCs w:val="24"/>
          <w:lang w:val="mn-MN"/>
        </w:rPr>
      </w:pPr>
    </w:p>
    <w:p w14:paraId="1CCE4735" w14:textId="308E77D3" w:rsidR="004949A7" w:rsidRPr="00A56040" w:rsidRDefault="004949A7" w:rsidP="004949A7">
      <w:pPr>
        <w:spacing w:after="0" w:line="240" w:lineRule="auto"/>
        <w:ind w:firstLine="709"/>
        <w:jc w:val="both"/>
        <w:rPr>
          <w:rFonts w:ascii="Arial" w:hAnsi="Arial" w:cs="Arial"/>
          <w:sz w:val="24"/>
          <w:szCs w:val="24"/>
          <w:lang w:val="mn-MN"/>
        </w:rPr>
      </w:pPr>
    </w:p>
    <w:p w14:paraId="64979CA3" w14:textId="40C06798" w:rsidR="004949A7" w:rsidRPr="00A56040" w:rsidRDefault="004949A7" w:rsidP="004949A7">
      <w:pPr>
        <w:spacing w:after="0" w:line="240" w:lineRule="auto"/>
        <w:ind w:firstLine="709"/>
        <w:jc w:val="both"/>
        <w:rPr>
          <w:rFonts w:ascii="Arial" w:hAnsi="Arial" w:cs="Arial"/>
          <w:sz w:val="24"/>
          <w:szCs w:val="24"/>
          <w:lang w:val="mn-MN"/>
        </w:rPr>
      </w:pPr>
      <w:r w:rsidRPr="00A56040">
        <w:rPr>
          <w:rFonts w:ascii="Arial" w:hAnsi="Arial" w:cs="Arial"/>
          <w:sz w:val="24"/>
          <w:szCs w:val="24"/>
          <w:lang w:val="mn-MN"/>
        </w:rPr>
        <w:tab/>
      </w:r>
      <w:r w:rsidRPr="00A56040">
        <w:rPr>
          <w:rFonts w:ascii="Arial" w:hAnsi="Arial" w:cs="Arial"/>
          <w:sz w:val="24"/>
          <w:szCs w:val="24"/>
          <w:lang w:val="mn-MN"/>
        </w:rPr>
        <w:tab/>
        <w:t xml:space="preserve">МОНГОЛ УЛСЫН </w:t>
      </w:r>
    </w:p>
    <w:p w14:paraId="30530F5B" w14:textId="3E8C4C88" w:rsidR="00EB07AB" w:rsidRDefault="004949A7" w:rsidP="00EB07AB">
      <w:pPr>
        <w:spacing w:after="0" w:line="240" w:lineRule="auto"/>
        <w:ind w:firstLine="709"/>
        <w:jc w:val="both"/>
        <w:rPr>
          <w:rFonts w:ascii="Arial" w:hAnsi="Arial" w:cs="Arial"/>
          <w:sz w:val="24"/>
          <w:szCs w:val="24"/>
          <w:lang w:val="mn-MN"/>
        </w:rPr>
      </w:pPr>
      <w:r w:rsidRPr="00A56040">
        <w:rPr>
          <w:rFonts w:ascii="Arial" w:hAnsi="Arial" w:cs="Arial"/>
          <w:sz w:val="24"/>
          <w:szCs w:val="24"/>
          <w:lang w:val="mn-MN"/>
        </w:rPr>
        <w:tab/>
      </w:r>
      <w:r w:rsidRPr="00A56040">
        <w:rPr>
          <w:rFonts w:ascii="Arial" w:hAnsi="Arial" w:cs="Arial"/>
          <w:sz w:val="24"/>
          <w:szCs w:val="24"/>
          <w:lang w:val="mn-MN"/>
        </w:rPr>
        <w:tab/>
        <w:t xml:space="preserve">ИХ ХУРЛЫН ДАРГА </w:t>
      </w:r>
      <w:r w:rsidRPr="00A56040">
        <w:rPr>
          <w:rFonts w:ascii="Arial" w:hAnsi="Arial" w:cs="Arial"/>
          <w:sz w:val="24"/>
          <w:szCs w:val="24"/>
          <w:lang w:val="mn-MN"/>
        </w:rPr>
        <w:tab/>
      </w:r>
      <w:r w:rsidRPr="00A56040">
        <w:rPr>
          <w:rFonts w:ascii="Arial" w:hAnsi="Arial" w:cs="Arial"/>
          <w:sz w:val="24"/>
          <w:szCs w:val="24"/>
          <w:lang w:val="mn-MN"/>
        </w:rPr>
        <w:tab/>
      </w:r>
      <w:r w:rsidRPr="00A56040">
        <w:rPr>
          <w:rFonts w:ascii="Arial" w:hAnsi="Arial" w:cs="Arial"/>
          <w:sz w:val="24"/>
          <w:szCs w:val="24"/>
          <w:lang w:val="mn-MN"/>
        </w:rPr>
        <w:tab/>
      </w:r>
      <w:r w:rsidRPr="00A56040">
        <w:rPr>
          <w:rFonts w:ascii="Arial" w:hAnsi="Arial" w:cs="Arial"/>
          <w:sz w:val="24"/>
          <w:szCs w:val="24"/>
          <w:lang w:val="mn-MN"/>
        </w:rPr>
        <w:tab/>
        <w:t>Г.ЗАНДАНШАТАР</w:t>
      </w:r>
    </w:p>
    <w:p w14:paraId="2760CD6E" w14:textId="47B5CE80" w:rsidR="00EB07AB" w:rsidRDefault="00EB07AB" w:rsidP="00EB07AB">
      <w:pPr>
        <w:spacing w:after="0" w:line="240" w:lineRule="auto"/>
        <w:ind w:firstLine="709"/>
        <w:jc w:val="both"/>
        <w:rPr>
          <w:rFonts w:ascii="Arial" w:hAnsi="Arial" w:cs="Arial"/>
          <w:sz w:val="24"/>
          <w:szCs w:val="24"/>
          <w:lang w:val="mn-MN"/>
        </w:rPr>
      </w:pPr>
    </w:p>
    <w:p w14:paraId="24BFE0AA" w14:textId="701A9D44" w:rsidR="00EB07AB" w:rsidRDefault="00EB07AB" w:rsidP="00EB07AB">
      <w:pPr>
        <w:spacing w:after="0" w:line="240" w:lineRule="auto"/>
        <w:ind w:firstLine="709"/>
        <w:jc w:val="both"/>
        <w:rPr>
          <w:rFonts w:ascii="Arial" w:hAnsi="Arial" w:cs="Arial"/>
          <w:sz w:val="24"/>
          <w:szCs w:val="24"/>
          <w:lang w:val="mn-MN"/>
        </w:rPr>
      </w:pPr>
    </w:p>
    <w:p w14:paraId="48102CCB" w14:textId="77777777" w:rsidR="00EB07AB" w:rsidRPr="00A56040" w:rsidRDefault="00EB07AB" w:rsidP="00EB07AB">
      <w:pPr>
        <w:spacing w:after="0" w:line="240" w:lineRule="auto"/>
        <w:ind w:firstLine="709"/>
        <w:jc w:val="both"/>
        <w:rPr>
          <w:lang w:val="mn-MN"/>
        </w:rPr>
      </w:pPr>
    </w:p>
    <w:p w14:paraId="1D05B6E0" w14:textId="2F934196" w:rsidR="008B5A5C" w:rsidRDefault="008B5A5C" w:rsidP="004949A7">
      <w:pPr>
        <w:rPr>
          <w:lang w:val="mn-MN"/>
        </w:rPr>
      </w:pPr>
    </w:p>
    <w:p w14:paraId="3F47E92A" w14:textId="44C8C9A6" w:rsidR="00EB07AB" w:rsidRDefault="00EB07AB" w:rsidP="004949A7">
      <w:pPr>
        <w:rPr>
          <w:lang w:val="mn-MN"/>
        </w:rPr>
      </w:pPr>
    </w:p>
    <w:p w14:paraId="65ECB387" w14:textId="44B03429" w:rsidR="00EB07AB" w:rsidRDefault="00EB07AB" w:rsidP="004949A7">
      <w:pPr>
        <w:rPr>
          <w:lang w:val="mn-MN"/>
        </w:rPr>
      </w:pPr>
    </w:p>
    <w:p w14:paraId="36CDD4DF" w14:textId="116C4FE6" w:rsidR="00EB07AB" w:rsidRDefault="00EB07AB" w:rsidP="004949A7">
      <w:pPr>
        <w:rPr>
          <w:lang w:val="mn-MN"/>
        </w:rPr>
      </w:pPr>
    </w:p>
    <w:p w14:paraId="0341D8B7" w14:textId="102393C3" w:rsidR="00EB07AB" w:rsidRDefault="00EB07AB" w:rsidP="004949A7">
      <w:pPr>
        <w:rPr>
          <w:lang w:val="mn-MN"/>
        </w:rPr>
      </w:pPr>
    </w:p>
    <w:p w14:paraId="3FE86AEC" w14:textId="525AAA5D" w:rsidR="00EB07AB" w:rsidRDefault="00EB07AB" w:rsidP="004949A7">
      <w:pPr>
        <w:rPr>
          <w:lang w:val="mn-MN"/>
        </w:rPr>
      </w:pPr>
    </w:p>
    <w:p w14:paraId="7B468853" w14:textId="5BE8D07C" w:rsidR="00EB07AB" w:rsidRDefault="00EB07AB" w:rsidP="004949A7">
      <w:pPr>
        <w:rPr>
          <w:lang w:val="mn-MN"/>
        </w:rPr>
      </w:pPr>
    </w:p>
    <w:p w14:paraId="0D931A77" w14:textId="5F6AEC8B" w:rsidR="00EB07AB" w:rsidRDefault="00EB07AB" w:rsidP="004949A7">
      <w:pPr>
        <w:rPr>
          <w:lang w:val="mn-MN"/>
        </w:rPr>
      </w:pPr>
    </w:p>
    <w:p w14:paraId="24017BDF" w14:textId="67F9D8A6" w:rsidR="00EB07AB" w:rsidRDefault="00EB07AB" w:rsidP="004949A7">
      <w:pPr>
        <w:rPr>
          <w:lang w:val="mn-MN"/>
        </w:rPr>
      </w:pPr>
    </w:p>
    <w:p w14:paraId="76F952CF" w14:textId="55EACEBA" w:rsidR="00EB07AB" w:rsidRDefault="00EB07AB" w:rsidP="004949A7">
      <w:pPr>
        <w:rPr>
          <w:lang w:val="mn-MN"/>
        </w:rPr>
      </w:pPr>
    </w:p>
    <w:p w14:paraId="1C17CD8B" w14:textId="77777777" w:rsidR="00EB07AB" w:rsidRDefault="00EB07AB" w:rsidP="004949A7">
      <w:pPr>
        <w:rPr>
          <w:lang w:val="mn-MN"/>
        </w:rPr>
        <w:sectPr w:rsidR="00EB07AB" w:rsidSect="004949A7">
          <w:pgSz w:w="11907" w:h="16840" w:code="9"/>
          <w:pgMar w:top="1134" w:right="851" w:bottom="1134" w:left="1701" w:header="720" w:footer="720" w:gutter="0"/>
          <w:cols w:space="720"/>
          <w:docGrid w:linePitch="360"/>
        </w:sectPr>
      </w:pPr>
    </w:p>
    <w:p w14:paraId="74F9FD81" w14:textId="77777777" w:rsidR="00EB07AB" w:rsidRPr="004024BD" w:rsidRDefault="00EB07AB" w:rsidP="00EB07AB">
      <w:pPr>
        <w:pStyle w:val="Heading1"/>
        <w:rPr>
          <w:b w:val="0"/>
          <w:sz w:val="22"/>
          <w:szCs w:val="22"/>
        </w:rPr>
      </w:pPr>
      <w:r w:rsidRPr="004024BD">
        <w:rPr>
          <w:b w:val="0"/>
          <w:sz w:val="22"/>
          <w:szCs w:val="22"/>
        </w:rPr>
        <w:lastRenderedPageBreak/>
        <w:t>Монгол Улсын Их Хурлын 2022 оны</w:t>
      </w:r>
    </w:p>
    <w:p w14:paraId="357F36B9" w14:textId="0BF34F5A" w:rsidR="00EB07AB" w:rsidRPr="004024BD" w:rsidRDefault="00EB07AB" w:rsidP="00EB07AB">
      <w:pPr>
        <w:spacing w:after="0" w:line="240" w:lineRule="auto"/>
        <w:jc w:val="right"/>
        <w:rPr>
          <w:sz w:val="24"/>
          <w:szCs w:val="24"/>
          <w:lang w:val="mn-MN"/>
        </w:rPr>
      </w:pPr>
      <w:r>
        <w:rPr>
          <w:rFonts w:ascii="Arial" w:hAnsi="Arial" w:cs="Arial"/>
        </w:rPr>
        <w:t>26</w:t>
      </w:r>
      <w:r w:rsidRPr="004024BD">
        <w:rPr>
          <w:rFonts w:ascii="Arial" w:hAnsi="Arial" w:cs="Arial"/>
          <w:lang w:val="mn-MN"/>
        </w:rPr>
        <w:t xml:space="preserve"> дугаар тогтоолын хавсралт</w:t>
      </w:r>
    </w:p>
    <w:p w14:paraId="6C633098" w14:textId="77777777" w:rsidR="00EB07AB" w:rsidRPr="004024BD" w:rsidRDefault="00EB07AB" w:rsidP="00EB07AB">
      <w:pPr>
        <w:spacing w:after="0" w:line="360" w:lineRule="auto"/>
        <w:rPr>
          <w:sz w:val="24"/>
          <w:szCs w:val="24"/>
          <w:lang w:val="mn-MN"/>
        </w:rPr>
      </w:pPr>
    </w:p>
    <w:p w14:paraId="344C2BCF" w14:textId="77777777" w:rsidR="00EB07AB" w:rsidRPr="004024BD" w:rsidRDefault="00EB07AB" w:rsidP="00EB07AB">
      <w:pPr>
        <w:pStyle w:val="Heading1"/>
        <w:jc w:val="center"/>
      </w:pPr>
      <w:r w:rsidRPr="004024BD">
        <w:t>ЗАСГИЙН ГАЗРЫН ӨРИЙН УДИРДЛАГЫН</w:t>
      </w:r>
    </w:p>
    <w:p w14:paraId="69396FF3" w14:textId="77777777" w:rsidR="00EB07AB" w:rsidRPr="004024BD" w:rsidRDefault="00EB07AB" w:rsidP="00EB07AB">
      <w:pPr>
        <w:pStyle w:val="Heading1"/>
        <w:keepNext w:val="0"/>
        <w:numPr>
          <w:ilvl w:val="1"/>
          <w:numId w:val="16"/>
        </w:numPr>
        <w:contextualSpacing/>
        <w:jc w:val="center"/>
      </w:pPr>
      <w:r w:rsidRPr="004024BD">
        <w:t xml:space="preserve"> ОНЫ СТРАТЕГИЙН БАРИМТ БИЧИГ</w:t>
      </w:r>
    </w:p>
    <w:p w14:paraId="5B88AF9E" w14:textId="77777777" w:rsidR="00EB07AB" w:rsidRPr="004024BD" w:rsidRDefault="00EB07AB" w:rsidP="00EB07AB">
      <w:pPr>
        <w:spacing w:after="0" w:line="240" w:lineRule="auto"/>
        <w:rPr>
          <w:sz w:val="24"/>
          <w:szCs w:val="24"/>
          <w:lang w:val="mn-MN"/>
        </w:rPr>
      </w:pPr>
    </w:p>
    <w:p w14:paraId="25C62148" w14:textId="77777777" w:rsidR="00EB07AB" w:rsidRPr="004024BD" w:rsidRDefault="00EB07AB" w:rsidP="00EB07AB">
      <w:pPr>
        <w:pStyle w:val="Heading1"/>
        <w:ind w:firstLine="720"/>
        <w:jc w:val="center"/>
      </w:pPr>
      <w:r w:rsidRPr="004024BD">
        <w:t>1.УЛСЫН НИЙТ ГАДААД ӨР, ЗАСГИЙН ГАЗРЫН ӨРИЙН</w:t>
      </w:r>
    </w:p>
    <w:p w14:paraId="3CF79BAD" w14:textId="77777777" w:rsidR="00EB07AB" w:rsidRPr="004024BD" w:rsidRDefault="00EB07AB" w:rsidP="00EB07AB">
      <w:pPr>
        <w:pStyle w:val="Heading1"/>
        <w:ind w:firstLine="720"/>
        <w:jc w:val="center"/>
      </w:pPr>
      <w:r w:rsidRPr="004024BD">
        <w:t xml:space="preserve"> ӨНӨӨГИЙН НӨХЦӨЛ, БАЙДАЛ</w:t>
      </w:r>
    </w:p>
    <w:p w14:paraId="021C117F" w14:textId="77777777" w:rsidR="00EB07AB" w:rsidRPr="004024BD" w:rsidRDefault="00EB07AB" w:rsidP="00EB07AB">
      <w:pPr>
        <w:pStyle w:val="NoSpacing"/>
        <w:spacing w:after="0" w:line="240" w:lineRule="auto"/>
        <w:rPr>
          <w:sz w:val="24"/>
          <w:szCs w:val="24"/>
        </w:rPr>
      </w:pPr>
    </w:p>
    <w:p w14:paraId="09D7D9DB" w14:textId="77777777" w:rsidR="00EB07AB" w:rsidRPr="004024BD" w:rsidRDefault="00EB07AB" w:rsidP="00EB07AB">
      <w:pPr>
        <w:pStyle w:val="Heading2"/>
        <w:tabs>
          <w:tab w:val="left" w:pos="709"/>
        </w:tabs>
        <w:rPr>
          <w:szCs w:val="24"/>
          <w:vertAlign w:val="superscript"/>
        </w:rPr>
      </w:pPr>
      <w:r w:rsidRPr="004024BD">
        <w:rPr>
          <w:szCs w:val="24"/>
        </w:rPr>
        <w:tab/>
      </w:r>
      <w:r w:rsidRPr="004024BD">
        <w:rPr>
          <w:szCs w:val="24"/>
        </w:rPr>
        <w:tab/>
        <w:t>1.1.Улсын нийт гадаад өр</w:t>
      </w:r>
      <w:r w:rsidRPr="004024BD">
        <w:rPr>
          <w:rStyle w:val="FootnoteReference"/>
          <w:szCs w:val="24"/>
        </w:rPr>
        <w:footnoteReference w:id="1"/>
      </w:r>
    </w:p>
    <w:p w14:paraId="38CD5A30" w14:textId="77777777" w:rsidR="00EB07AB" w:rsidRPr="004024BD" w:rsidRDefault="00EB07AB" w:rsidP="00EB07AB">
      <w:pPr>
        <w:pStyle w:val="ListParagraph"/>
        <w:tabs>
          <w:tab w:val="left" w:pos="709"/>
        </w:tabs>
        <w:spacing w:after="0" w:line="240" w:lineRule="auto"/>
        <w:ind w:left="0"/>
        <w:jc w:val="both"/>
        <w:rPr>
          <w:rFonts w:ascii="Arial" w:hAnsi="Arial" w:cs="Arial"/>
          <w:sz w:val="24"/>
          <w:szCs w:val="24"/>
          <w:lang w:val="mn-MN"/>
        </w:rPr>
      </w:pPr>
      <w:r w:rsidRPr="004024BD">
        <w:rPr>
          <w:rFonts w:ascii="Arial" w:hAnsi="Arial" w:cs="Arial"/>
          <w:sz w:val="24"/>
          <w:szCs w:val="24"/>
          <w:lang w:val="mn-MN"/>
        </w:rPr>
        <w:tab/>
      </w:r>
    </w:p>
    <w:p w14:paraId="3909B3AD" w14:textId="77777777" w:rsidR="00EB07AB" w:rsidRPr="004024BD" w:rsidRDefault="00EB07AB" w:rsidP="00EB07AB">
      <w:pPr>
        <w:pStyle w:val="ListParagraph"/>
        <w:tabs>
          <w:tab w:val="left" w:pos="709"/>
        </w:tabs>
        <w:spacing w:after="0" w:line="240" w:lineRule="auto"/>
        <w:ind w:left="0"/>
        <w:jc w:val="both"/>
        <w:rPr>
          <w:rFonts w:ascii="Arial" w:hAnsi="Arial" w:cs="Arial"/>
          <w:sz w:val="24"/>
          <w:szCs w:val="24"/>
          <w:lang w:val="mn-MN" w:bidi="mn-Mong-CN"/>
        </w:rPr>
      </w:pPr>
      <w:r w:rsidRPr="004024BD">
        <w:rPr>
          <w:rFonts w:ascii="Arial" w:hAnsi="Arial" w:cs="Arial"/>
          <w:sz w:val="24"/>
          <w:szCs w:val="24"/>
          <w:lang w:val="mn-MN"/>
        </w:rPr>
        <w:tab/>
      </w:r>
      <w:r w:rsidRPr="004024BD">
        <w:rPr>
          <w:rFonts w:ascii="Arial" w:hAnsi="Arial" w:cs="Arial"/>
          <w:sz w:val="24"/>
          <w:szCs w:val="24"/>
          <w:lang w:val="mn-MN" w:bidi="mn-Mong-CN"/>
        </w:rPr>
        <w:t>Улсын нийт гадаад өрийн үлдэгдэл 2021 оны жилийн эцсийн байдлаар 33.2 тэрбум ам.доллартой тэнцэж байна. Үүнээс Засгийн газрын гадаад өр 8.5 тэрбум ам.доллар /25.6%/, Төв банкны гадаад өр 2.6 тэрбум ам.доллар /7.8%/, бусад салбарын өр 8.2 тэрбум ам.доллар /24.7%/, Төв банкнаас бусад хадгаламжийн байгууллагын өр 1.6 тэрбум ам.доллар /4.8%/, компани хоорондын зээллэг 12.3 тэрбум ам.доллар /37.0%/-ыг тус тус эзэлж байна.</w:t>
      </w:r>
    </w:p>
    <w:p w14:paraId="443ED302" w14:textId="77777777" w:rsidR="00EB07AB" w:rsidRPr="004024BD" w:rsidRDefault="00EB07AB" w:rsidP="00EB07AB">
      <w:pPr>
        <w:pStyle w:val="ListParagraph"/>
        <w:tabs>
          <w:tab w:val="left" w:pos="709"/>
        </w:tabs>
        <w:spacing w:before="240" w:after="0" w:line="240" w:lineRule="auto"/>
        <w:ind w:left="0"/>
        <w:jc w:val="both"/>
        <w:rPr>
          <w:rFonts w:ascii="Arial" w:hAnsi="Arial" w:cs="Arial"/>
          <w:sz w:val="24"/>
          <w:szCs w:val="24"/>
          <w:lang w:val="mn-MN" w:eastAsia="zh-CN" w:bidi="mn-Mong-CN"/>
        </w:rPr>
      </w:pPr>
    </w:p>
    <w:p w14:paraId="3931C16E" w14:textId="77777777" w:rsidR="00EB07AB" w:rsidRPr="004024BD" w:rsidRDefault="00EB07AB" w:rsidP="00EB07AB">
      <w:pPr>
        <w:pStyle w:val="Caption"/>
        <w:keepNext/>
        <w:spacing w:after="0"/>
        <w:ind w:firstLine="720"/>
        <w:rPr>
          <w:rFonts w:ascii="Arial" w:hAnsi="Arial" w:cs="Arial"/>
          <w:color w:val="000000" w:themeColor="text1"/>
          <w:sz w:val="22"/>
          <w:szCs w:val="22"/>
          <w:lang w:val="mn-MN"/>
        </w:rPr>
      </w:pPr>
      <w:r w:rsidRPr="004024BD">
        <w:rPr>
          <w:rFonts w:ascii="Arial" w:hAnsi="Arial" w:cs="Arial"/>
          <w:color w:val="000000" w:themeColor="text1"/>
          <w:sz w:val="22"/>
          <w:szCs w:val="22"/>
          <w:lang w:val="mn-MN"/>
        </w:rPr>
        <w:t xml:space="preserve">Хүснэгm №1: Улсын нийт гадаад өрийн үлдэгдэл, 2019-2021 он </w:t>
      </w:r>
      <w:r w:rsidRPr="004024BD">
        <w:rPr>
          <w:rFonts w:ascii="Arial" w:hAnsi="Arial" w:cs="Arial"/>
          <w:color w:val="000000" w:themeColor="text1"/>
          <w:sz w:val="22"/>
          <w:szCs w:val="22"/>
          <w:lang w:val="mn-MN"/>
        </w:rPr>
        <w:tab/>
      </w:r>
      <w:r w:rsidRPr="004024BD">
        <w:rPr>
          <w:rFonts w:ascii="Arial" w:hAnsi="Arial" w:cs="Arial"/>
          <w:color w:val="000000" w:themeColor="text1"/>
          <w:sz w:val="22"/>
          <w:szCs w:val="22"/>
          <w:lang w:val="mn-MN"/>
        </w:rPr>
        <w:tab/>
      </w:r>
    </w:p>
    <w:p w14:paraId="44D65A4C" w14:textId="77777777" w:rsidR="00EB07AB" w:rsidRPr="004024BD" w:rsidRDefault="00EB07AB" w:rsidP="00EB07AB">
      <w:pPr>
        <w:pStyle w:val="Caption"/>
        <w:keepNext/>
        <w:spacing w:after="0"/>
        <w:ind w:left="7200" w:firstLine="720"/>
        <w:rPr>
          <w:rFonts w:ascii="Arial" w:hAnsi="Arial" w:cs="Arial"/>
          <w:i w:val="0"/>
          <w:color w:val="000000" w:themeColor="text1"/>
          <w:sz w:val="22"/>
          <w:szCs w:val="22"/>
          <w:lang w:val="mn-MN"/>
        </w:rPr>
      </w:pPr>
      <w:r w:rsidRPr="004024BD">
        <w:rPr>
          <w:rFonts w:ascii="Arial" w:hAnsi="Arial" w:cs="Arial"/>
          <w:color w:val="000000" w:themeColor="text1"/>
          <w:sz w:val="22"/>
          <w:szCs w:val="22"/>
          <w:lang w:val="mn-MN"/>
        </w:rPr>
        <w:t xml:space="preserve">    /сая ам.доллар/</w:t>
      </w:r>
    </w:p>
    <w:tbl>
      <w:tblPr>
        <w:tblStyle w:val="LightShading-Accent1"/>
        <w:tblW w:w="9807" w:type="dxa"/>
        <w:jc w:val="center"/>
        <w:tblLook w:val="04A0" w:firstRow="1" w:lastRow="0" w:firstColumn="1" w:lastColumn="0" w:noHBand="0" w:noVBand="1"/>
      </w:tblPr>
      <w:tblGrid>
        <w:gridCol w:w="4379"/>
        <w:gridCol w:w="1846"/>
        <w:gridCol w:w="1791"/>
        <w:gridCol w:w="1791"/>
      </w:tblGrid>
      <w:tr w:rsidR="00EB07AB" w:rsidRPr="004024BD" w14:paraId="0A7631A2" w14:textId="77777777" w:rsidTr="00FD3D1D">
        <w:trPr>
          <w:cnfStyle w:val="100000000000" w:firstRow="1" w:lastRow="0" w:firstColumn="0" w:lastColumn="0" w:oddVBand="0" w:evenVBand="0" w:oddHBand="0"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4379" w:type="dxa"/>
            <w:tcBorders>
              <w:top w:val="single" w:sz="4" w:space="0" w:color="auto"/>
              <w:bottom w:val="single" w:sz="4" w:space="0" w:color="auto"/>
            </w:tcBorders>
            <w:shd w:val="clear" w:color="auto" w:fill="002060"/>
            <w:vAlign w:val="center"/>
            <w:hideMark/>
          </w:tcPr>
          <w:p w14:paraId="6E52FE6E" w14:textId="77777777" w:rsidR="00EB07AB" w:rsidRPr="004024BD" w:rsidRDefault="00EB07AB" w:rsidP="00FD3D1D">
            <w:pPr>
              <w:rPr>
                <w:rFonts w:ascii="Arial" w:hAnsi="Arial" w:cs="Arial"/>
                <w:color w:val="auto"/>
                <w:sz w:val="20"/>
                <w:szCs w:val="20"/>
                <w:lang w:val="mn-MN"/>
              </w:rPr>
            </w:pPr>
            <w:r w:rsidRPr="004024BD">
              <w:rPr>
                <w:rFonts w:ascii="Arial" w:hAnsi="Arial" w:cs="Arial"/>
                <w:color w:val="FFFFFF" w:themeColor="background1"/>
                <w:sz w:val="20"/>
                <w:szCs w:val="20"/>
                <w:lang w:val="mn-MN"/>
              </w:rPr>
              <w:t>САЛБАРЫН АНГИЛАЛ</w:t>
            </w:r>
          </w:p>
        </w:tc>
        <w:tc>
          <w:tcPr>
            <w:tcW w:w="1846" w:type="dxa"/>
            <w:tcBorders>
              <w:top w:val="single" w:sz="4" w:space="0" w:color="auto"/>
              <w:bottom w:val="single" w:sz="4" w:space="0" w:color="auto"/>
            </w:tcBorders>
            <w:shd w:val="clear" w:color="auto" w:fill="002060"/>
            <w:vAlign w:val="center"/>
            <w:hideMark/>
          </w:tcPr>
          <w:p w14:paraId="00F7C697" w14:textId="77777777" w:rsidR="00EB07AB" w:rsidRPr="004024BD" w:rsidRDefault="00EB07AB" w:rsidP="00FD3D1D">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val="mn-MN"/>
              </w:rPr>
            </w:pPr>
            <w:r w:rsidRPr="004024BD">
              <w:rPr>
                <w:rFonts w:ascii="Arial" w:hAnsi="Arial" w:cs="Arial"/>
                <w:color w:val="FFFFFF" w:themeColor="background1"/>
                <w:sz w:val="20"/>
                <w:szCs w:val="20"/>
                <w:lang w:val="mn-MN"/>
              </w:rPr>
              <w:t xml:space="preserve">2019 </w:t>
            </w:r>
          </w:p>
        </w:tc>
        <w:tc>
          <w:tcPr>
            <w:tcW w:w="1791" w:type="dxa"/>
            <w:tcBorders>
              <w:top w:val="single" w:sz="4" w:space="0" w:color="auto"/>
              <w:bottom w:val="single" w:sz="4" w:space="0" w:color="auto"/>
            </w:tcBorders>
            <w:shd w:val="clear" w:color="auto" w:fill="002060"/>
            <w:vAlign w:val="center"/>
            <w:hideMark/>
          </w:tcPr>
          <w:p w14:paraId="3C8A2F73" w14:textId="77777777" w:rsidR="00EB07AB" w:rsidRPr="004024BD" w:rsidRDefault="00EB07AB" w:rsidP="00FD3D1D">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val="mn-MN"/>
              </w:rPr>
            </w:pPr>
            <w:r w:rsidRPr="004024BD">
              <w:rPr>
                <w:rFonts w:ascii="Arial" w:hAnsi="Arial" w:cs="Arial"/>
                <w:color w:val="FFFFFF" w:themeColor="background1"/>
                <w:sz w:val="20"/>
                <w:szCs w:val="20"/>
                <w:lang w:val="mn-MN"/>
              </w:rPr>
              <w:t xml:space="preserve">2020 </w:t>
            </w:r>
          </w:p>
        </w:tc>
        <w:tc>
          <w:tcPr>
            <w:tcW w:w="1791" w:type="dxa"/>
            <w:tcBorders>
              <w:top w:val="single" w:sz="4" w:space="0" w:color="auto"/>
              <w:bottom w:val="single" w:sz="4" w:space="0" w:color="auto"/>
            </w:tcBorders>
            <w:shd w:val="clear" w:color="auto" w:fill="002060"/>
            <w:vAlign w:val="center"/>
            <w:hideMark/>
          </w:tcPr>
          <w:p w14:paraId="1C4B2925" w14:textId="77777777" w:rsidR="00EB07AB" w:rsidRPr="004024BD" w:rsidRDefault="00EB07AB" w:rsidP="00FD3D1D">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val="mn-MN"/>
              </w:rPr>
            </w:pPr>
            <w:r w:rsidRPr="004024BD">
              <w:rPr>
                <w:rFonts w:ascii="Arial" w:hAnsi="Arial" w:cs="Arial"/>
                <w:color w:val="FFFFFF" w:themeColor="background1"/>
                <w:sz w:val="20"/>
                <w:szCs w:val="20"/>
                <w:lang w:val="mn-MN"/>
              </w:rPr>
              <w:t xml:space="preserve">2021 </w:t>
            </w:r>
          </w:p>
        </w:tc>
      </w:tr>
      <w:tr w:rsidR="00EB07AB" w:rsidRPr="004024BD" w14:paraId="24F27D51" w14:textId="77777777" w:rsidTr="00FD3D1D">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379" w:type="dxa"/>
            <w:tcBorders>
              <w:top w:val="single" w:sz="4" w:space="0" w:color="auto"/>
            </w:tcBorders>
            <w:shd w:val="clear" w:color="auto" w:fill="FFFFFF" w:themeFill="background1"/>
            <w:vAlign w:val="center"/>
            <w:hideMark/>
          </w:tcPr>
          <w:p w14:paraId="735AC860" w14:textId="77777777" w:rsidR="00EB07AB" w:rsidRPr="004024BD" w:rsidRDefault="00EB07AB" w:rsidP="00FD3D1D">
            <w:pPr>
              <w:rPr>
                <w:rFonts w:ascii="Arial" w:hAnsi="Arial" w:cs="Arial"/>
                <w:b w:val="0"/>
                <w:color w:val="auto"/>
                <w:sz w:val="20"/>
                <w:szCs w:val="20"/>
                <w:lang w:val="mn-MN"/>
              </w:rPr>
            </w:pPr>
            <w:r w:rsidRPr="004024BD">
              <w:rPr>
                <w:rFonts w:ascii="Arial" w:hAnsi="Arial" w:cs="Arial"/>
                <w:sz w:val="20"/>
                <w:szCs w:val="20"/>
                <w:lang w:val="mn-MN"/>
              </w:rPr>
              <w:t xml:space="preserve">Засгийн газар </w:t>
            </w:r>
          </w:p>
        </w:tc>
        <w:tc>
          <w:tcPr>
            <w:tcW w:w="1846" w:type="dxa"/>
            <w:tcBorders>
              <w:top w:val="single" w:sz="4" w:space="0" w:color="auto"/>
            </w:tcBorders>
            <w:shd w:val="clear" w:color="auto" w:fill="FFFFFF" w:themeFill="background1"/>
            <w:noWrap/>
            <w:vAlign w:val="center"/>
            <w:hideMark/>
          </w:tcPr>
          <w:p w14:paraId="7CC5F160" w14:textId="77777777" w:rsidR="00EB07AB" w:rsidRPr="004024BD" w:rsidRDefault="00EB07AB" w:rsidP="00FD3D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mn-MN"/>
              </w:rPr>
            </w:pPr>
            <w:r w:rsidRPr="004024BD">
              <w:rPr>
                <w:rFonts w:ascii="Arial" w:hAnsi="Arial" w:cs="Arial"/>
                <w:sz w:val="20"/>
                <w:szCs w:val="20"/>
                <w:lang w:val="mn-MN"/>
              </w:rPr>
              <w:t>7,806.2</w:t>
            </w:r>
          </w:p>
        </w:tc>
        <w:tc>
          <w:tcPr>
            <w:tcW w:w="1791" w:type="dxa"/>
            <w:tcBorders>
              <w:top w:val="single" w:sz="4" w:space="0" w:color="auto"/>
            </w:tcBorders>
            <w:shd w:val="clear" w:color="auto" w:fill="FFFFFF" w:themeFill="background1"/>
            <w:noWrap/>
            <w:vAlign w:val="center"/>
            <w:hideMark/>
          </w:tcPr>
          <w:p w14:paraId="50C9DC4C" w14:textId="77777777" w:rsidR="00EB07AB" w:rsidRPr="004024BD" w:rsidRDefault="00EB07AB" w:rsidP="00FD3D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mn-MN"/>
              </w:rPr>
            </w:pPr>
            <w:r w:rsidRPr="004024BD">
              <w:rPr>
                <w:rFonts w:ascii="Arial" w:hAnsi="Arial" w:cs="Arial"/>
                <w:sz w:val="20"/>
                <w:szCs w:val="20"/>
                <w:lang w:val="mn-MN"/>
              </w:rPr>
              <w:t>8,653.8</w:t>
            </w:r>
          </w:p>
        </w:tc>
        <w:tc>
          <w:tcPr>
            <w:tcW w:w="1791" w:type="dxa"/>
            <w:tcBorders>
              <w:top w:val="single" w:sz="4" w:space="0" w:color="auto"/>
            </w:tcBorders>
            <w:shd w:val="clear" w:color="auto" w:fill="FFFFFF" w:themeFill="background1"/>
            <w:noWrap/>
            <w:vAlign w:val="center"/>
            <w:hideMark/>
          </w:tcPr>
          <w:p w14:paraId="6B152327" w14:textId="77777777" w:rsidR="00EB07AB" w:rsidRPr="004024BD" w:rsidRDefault="00EB07AB" w:rsidP="00FD3D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mn-MN"/>
              </w:rPr>
            </w:pPr>
            <w:r w:rsidRPr="004024BD">
              <w:rPr>
                <w:rFonts w:ascii="Arial" w:hAnsi="Arial" w:cs="Arial"/>
                <w:sz w:val="20"/>
                <w:szCs w:val="20"/>
                <w:lang w:val="mn-MN"/>
              </w:rPr>
              <w:t>8,482.6</w:t>
            </w:r>
          </w:p>
        </w:tc>
      </w:tr>
      <w:tr w:rsidR="00EB07AB" w:rsidRPr="004024BD" w14:paraId="29C60630" w14:textId="77777777" w:rsidTr="00FD3D1D">
        <w:trPr>
          <w:trHeight w:val="285"/>
          <w:jc w:val="center"/>
        </w:trPr>
        <w:tc>
          <w:tcPr>
            <w:cnfStyle w:val="001000000000" w:firstRow="0" w:lastRow="0" w:firstColumn="1" w:lastColumn="0" w:oddVBand="0" w:evenVBand="0" w:oddHBand="0" w:evenHBand="0" w:firstRowFirstColumn="0" w:firstRowLastColumn="0" w:lastRowFirstColumn="0" w:lastRowLastColumn="0"/>
            <w:tcW w:w="4379" w:type="dxa"/>
            <w:tcBorders>
              <w:left w:val="nil"/>
            </w:tcBorders>
            <w:shd w:val="clear" w:color="auto" w:fill="FFFFFF" w:themeFill="background1"/>
            <w:vAlign w:val="center"/>
            <w:hideMark/>
          </w:tcPr>
          <w:p w14:paraId="05BE4081" w14:textId="77777777" w:rsidR="00EB07AB" w:rsidRPr="004024BD" w:rsidRDefault="00EB07AB" w:rsidP="00FD3D1D">
            <w:pPr>
              <w:rPr>
                <w:rFonts w:ascii="Arial" w:hAnsi="Arial" w:cs="Arial"/>
                <w:b w:val="0"/>
                <w:color w:val="auto"/>
                <w:sz w:val="20"/>
                <w:szCs w:val="20"/>
                <w:lang w:val="mn-MN"/>
              </w:rPr>
            </w:pPr>
            <w:r w:rsidRPr="004024BD">
              <w:rPr>
                <w:rFonts w:ascii="Arial" w:hAnsi="Arial" w:cs="Arial"/>
                <w:sz w:val="20"/>
                <w:szCs w:val="20"/>
                <w:lang w:val="mn-MN"/>
              </w:rPr>
              <w:t xml:space="preserve">Төв банк </w:t>
            </w:r>
          </w:p>
        </w:tc>
        <w:tc>
          <w:tcPr>
            <w:tcW w:w="1846" w:type="dxa"/>
            <w:shd w:val="clear" w:color="auto" w:fill="FFFFFF" w:themeFill="background1"/>
            <w:noWrap/>
            <w:vAlign w:val="center"/>
            <w:hideMark/>
          </w:tcPr>
          <w:p w14:paraId="6EBD518D" w14:textId="77777777" w:rsidR="00EB07AB" w:rsidRPr="004024BD" w:rsidRDefault="00EB07AB" w:rsidP="00FD3D1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mn-MN"/>
              </w:rPr>
            </w:pPr>
            <w:r w:rsidRPr="004024BD">
              <w:rPr>
                <w:rFonts w:ascii="Arial" w:hAnsi="Arial" w:cs="Arial"/>
                <w:sz w:val="20"/>
                <w:szCs w:val="20"/>
                <w:lang w:val="mn-MN"/>
              </w:rPr>
              <w:t>1,984.7</w:t>
            </w:r>
          </w:p>
        </w:tc>
        <w:tc>
          <w:tcPr>
            <w:tcW w:w="1791" w:type="dxa"/>
            <w:shd w:val="clear" w:color="auto" w:fill="FFFFFF" w:themeFill="background1"/>
            <w:noWrap/>
            <w:vAlign w:val="center"/>
            <w:hideMark/>
          </w:tcPr>
          <w:p w14:paraId="6FEE935E" w14:textId="77777777" w:rsidR="00EB07AB" w:rsidRPr="004024BD" w:rsidRDefault="00EB07AB" w:rsidP="00FD3D1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mn-MN"/>
              </w:rPr>
            </w:pPr>
            <w:r w:rsidRPr="004024BD">
              <w:rPr>
                <w:rFonts w:ascii="Arial" w:hAnsi="Arial" w:cs="Arial"/>
                <w:sz w:val="20"/>
                <w:szCs w:val="20"/>
                <w:lang w:val="mn-MN"/>
              </w:rPr>
              <w:t>2,220.9</w:t>
            </w:r>
          </w:p>
        </w:tc>
        <w:tc>
          <w:tcPr>
            <w:tcW w:w="1791" w:type="dxa"/>
            <w:tcBorders>
              <w:right w:val="nil"/>
            </w:tcBorders>
            <w:shd w:val="clear" w:color="auto" w:fill="FFFFFF" w:themeFill="background1"/>
            <w:noWrap/>
            <w:vAlign w:val="center"/>
            <w:hideMark/>
          </w:tcPr>
          <w:p w14:paraId="2E9874CF" w14:textId="77777777" w:rsidR="00EB07AB" w:rsidRPr="004024BD" w:rsidRDefault="00EB07AB" w:rsidP="00FD3D1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mn-MN"/>
              </w:rPr>
            </w:pPr>
            <w:r w:rsidRPr="004024BD">
              <w:rPr>
                <w:rFonts w:ascii="Arial" w:hAnsi="Arial" w:cs="Arial"/>
                <w:sz w:val="20"/>
                <w:szCs w:val="20"/>
                <w:lang w:val="mn-MN"/>
              </w:rPr>
              <w:t>2,561.8</w:t>
            </w:r>
          </w:p>
        </w:tc>
      </w:tr>
      <w:tr w:rsidR="00EB07AB" w:rsidRPr="004024BD" w14:paraId="6F7B1755" w14:textId="77777777" w:rsidTr="00FD3D1D">
        <w:trPr>
          <w:cnfStyle w:val="000000100000" w:firstRow="0" w:lastRow="0" w:firstColumn="0" w:lastColumn="0" w:oddVBand="0" w:evenVBand="0" w:oddHBand="1" w:evenHBand="0" w:firstRowFirstColumn="0" w:firstRowLastColumn="0" w:lastRowFirstColumn="0" w:lastRowLastColumn="0"/>
          <w:trHeight w:val="507"/>
          <w:jc w:val="center"/>
        </w:trPr>
        <w:tc>
          <w:tcPr>
            <w:cnfStyle w:val="001000000000" w:firstRow="0" w:lastRow="0" w:firstColumn="1" w:lastColumn="0" w:oddVBand="0" w:evenVBand="0" w:oddHBand="0" w:evenHBand="0" w:firstRowFirstColumn="0" w:firstRowLastColumn="0" w:lastRowFirstColumn="0" w:lastRowLastColumn="0"/>
            <w:tcW w:w="4379" w:type="dxa"/>
            <w:shd w:val="clear" w:color="auto" w:fill="FFFFFF" w:themeFill="background1"/>
            <w:vAlign w:val="center"/>
            <w:hideMark/>
          </w:tcPr>
          <w:p w14:paraId="2CE822E0" w14:textId="77777777" w:rsidR="00EB07AB" w:rsidRPr="004024BD" w:rsidRDefault="00EB07AB" w:rsidP="00FD3D1D">
            <w:pPr>
              <w:rPr>
                <w:rFonts w:ascii="Arial" w:hAnsi="Arial" w:cs="Arial"/>
                <w:b w:val="0"/>
                <w:color w:val="auto"/>
                <w:sz w:val="20"/>
                <w:szCs w:val="20"/>
                <w:lang w:val="mn-MN"/>
              </w:rPr>
            </w:pPr>
            <w:r w:rsidRPr="004024BD">
              <w:rPr>
                <w:rFonts w:ascii="Arial" w:hAnsi="Arial" w:cs="Arial"/>
                <w:sz w:val="20"/>
                <w:szCs w:val="20"/>
                <w:lang w:val="mn-MN"/>
              </w:rPr>
              <w:t>Хадгаламжийн байгууллага (Төв  банкнаас бусад)</w:t>
            </w:r>
          </w:p>
        </w:tc>
        <w:tc>
          <w:tcPr>
            <w:tcW w:w="1846" w:type="dxa"/>
            <w:shd w:val="clear" w:color="auto" w:fill="FFFFFF" w:themeFill="background1"/>
            <w:noWrap/>
            <w:vAlign w:val="center"/>
            <w:hideMark/>
          </w:tcPr>
          <w:p w14:paraId="608EB122" w14:textId="77777777" w:rsidR="00EB07AB" w:rsidRPr="004024BD" w:rsidRDefault="00EB07AB" w:rsidP="00FD3D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mn-MN"/>
              </w:rPr>
            </w:pPr>
            <w:r w:rsidRPr="004024BD">
              <w:rPr>
                <w:rFonts w:ascii="Arial" w:hAnsi="Arial" w:cs="Arial"/>
                <w:sz w:val="20"/>
                <w:szCs w:val="20"/>
                <w:lang w:val="mn-MN"/>
              </w:rPr>
              <w:t>2,137.9</w:t>
            </w:r>
          </w:p>
        </w:tc>
        <w:tc>
          <w:tcPr>
            <w:tcW w:w="1791" w:type="dxa"/>
            <w:shd w:val="clear" w:color="auto" w:fill="FFFFFF" w:themeFill="background1"/>
            <w:noWrap/>
            <w:vAlign w:val="center"/>
            <w:hideMark/>
          </w:tcPr>
          <w:p w14:paraId="5D2E434F" w14:textId="77777777" w:rsidR="00EB07AB" w:rsidRPr="004024BD" w:rsidRDefault="00EB07AB" w:rsidP="00FD3D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mn-MN"/>
              </w:rPr>
            </w:pPr>
            <w:r w:rsidRPr="004024BD">
              <w:rPr>
                <w:rFonts w:ascii="Arial" w:hAnsi="Arial" w:cs="Arial"/>
                <w:sz w:val="20"/>
                <w:szCs w:val="20"/>
                <w:lang w:val="mn-MN"/>
              </w:rPr>
              <w:t>1,650.9</w:t>
            </w:r>
          </w:p>
        </w:tc>
        <w:tc>
          <w:tcPr>
            <w:tcW w:w="1791" w:type="dxa"/>
            <w:shd w:val="clear" w:color="auto" w:fill="FFFFFF" w:themeFill="background1"/>
            <w:noWrap/>
            <w:vAlign w:val="center"/>
            <w:hideMark/>
          </w:tcPr>
          <w:p w14:paraId="52D9255C" w14:textId="77777777" w:rsidR="00EB07AB" w:rsidRPr="004024BD" w:rsidRDefault="00EB07AB" w:rsidP="00FD3D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mn-MN"/>
              </w:rPr>
            </w:pPr>
            <w:r w:rsidRPr="004024BD">
              <w:rPr>
                <w:rFonts w:ascii="Arial" w:hAnsi="Arial" w:cs="Arial"/>
                <w:sz w:val="20"/>
                <w:szCs w:val="20"/>
                <w:lang w:val="mn-MN"/>
              </w:rPr>
              <w:t>1,651.3</w:t>
            </w:r>
          </w:p>
        </w:tc>
      </w:tr>
      <w:tr w:rsidR="00EB07AB" w:rsidRPr="004024BD" w14:paraId="5965F266" w14:textId="77777777" w:rsidTr="00FD3D1D">
        <w:trPr>
          <w:trHeight w:val="285"/>
          <w:jc w:val="center"/>
        </w:trPr>
        <w:tc>
          <w:tcPr>
            <w:cnfStyle w:val="001000000000" w:firstRow="0" w:lastRow="0" w:firstColumn="1" w:lastColumn="0" w:oddVBand="0" w:evenVBand="0" w:oddHBand="0" w:evenHBand="0" w:firstRowFirstColumn="0" w:firstRowLastColumn="0" w:lastRowFirstColumn="0" w:lastRowLastColumn="0"/>
            <w:tcW w:w="4379" w:type="dxa"/>
            <w:tcBorders>
              <w:left w:val="nil"/>
            </w:tcBorders>
            <w:shd w:val="clear" w:color="auto" w:fill="FFFFFF" w:themeFill="background1"/>
            <w:vAlign w:val="center"/>
            <w:hideMark/>
          </w:tcPr>
          <w:p w14:paraId="603AFAB5" w14:textId="77777777" w:rsidR="00EB07AB" w:rsidRPr="004024BD" w:rsidRDefault="00EB07AB" w:rsidP="00FD3D1D">
            <w:pPr>
              <w:rPr>
                <w:rFonts w:ascii="Arial" w:hAnsi="Arial" w:cs="Arial"/>
                <w:b w:val="0"/>
                <w:color w:val="auto"/>
                <w:sz w:val="20"/>
                <w:szCs w:val="20"/>
                <w:lang w:val="mn-MN"/>
              </w:rPr>
            </w:pPr>
            <w:r w:rsidRPr="004024BD">
              <w:rPr>
                <w:rFonts w:ascii="Arial" w:hAnsi="Arial" w:cs="Arial"/>
                <w:sz w:val="20"/>
                <w:szCs w:val="20"/>
                <w:lang w:val="mn-MN"/>
              </w:rPr>
              <w:t xml:space="preserve">Бусад салбар </w:t>
            </w:r>
          </w:p>
        </w:tc>
        <w:tc>
          <w:tcPr>
            <w:tcW w:w="1846" w:type="dxa"/>
            <w:shd w:val="clear" w:color="auto" w:fill="FFFFFF" w:themeFill="background1"/>
            <w:noWrap/>
            <w:vAlign w:val="center"/>
            <w:hideMark/>
          </w:tcPr>
          <w:p w14:paraId="51B0E212" w14:textId="77777777" w:rsidR="00EB07AB" w:rsidRPr="004024BD" w:rsidRDefault="00EB07AB" w:rsidP="00FD3D1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mn-MN"/>
              </w:rPr>
            </w:pPr>
            <w:r w:rsidRPr="004024BD">
              <w:rPr>
                <w:rFonts w:ascii="Arial" w:hAnsi="Arial" w:cs="Arial"/>
                <w:sz w:val="20"/>
                <w:szCs w:val="20"/>
                <w:lang w:val="mn-MN"/>
              </w:rPr>
              <w:t>8,517.4</w:t>
            </w:r>
          </w:p>
        </w:tc>
        <w:tc>
          <w:tcPr>
            <w:tcW w:w="1791" w:type="dxa"/>
            <w:shd w:val="clear" w:color="auto" w:fill="FFFFFF" w:themeFill="background1"/>
            <w:noWrap/>
            <w:vAlign w:val="center"/>
            <w:hideMark/>
          </w:tcPr>
          <w:p w14:paraId="09DDB119" w14:textId="77777777" w:rsidR="00EB07AB" w:rsidRPr="004024BD" w:rsidRDefault="00EB07AB" w:rsidP="00FD3D1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mn-MN"/>
              </w:rPr>
            </w:pPr>
            <w:r w:rsidRPr="004024BD">
              <w:rPr>
                <w:rFonts w:ascii="Arial" w:hAnsi="Arial" w:cs="Arial"/>
                <w:sz w:val="20"/>
                <w:szCs w:val="20"/>
                <w:lang w:val="mn-MN"/>
              </w:rPr>
              <w:t>8,254.2</w:t>
            </w:r>
          </w:p>
        </w:tc>
        <w:tc>
          <w:tcPr>
            <w:tcW w:w="1791" w:type="dxa"/>
            <w:tcBorders>
              <w:right w:val="nil"/>
            </w:tcBorders>
            <w:shd w:val="clear" w:color="auto" w:fill="FFFFFF" w:themeFill="background1"/>
            <w:noWrap/>
            <w:vAlign w:val="center"/>
            <w:hideMark/>
          </w:tcPr>
          <w:p w14:paraId="18DFB66B" w14:textId="77777777" w:rsidR="00EB07AB" w:rsidRPr="004024BD" w:rsidRDefault="00EB07AB" w:rsidP="00FD3D1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mn-MN"/>
              </w:rPr>
            </w:pPr>
            <w:r w:rsidRPr="004024BD">
              <w:rPr>
                <w:rFonts w:ascii="Arial" w:hAnsi="Arial" w:cs="Arial"/>
                <w:sz w:val="20"/>
                <w:szCs w:val="20"/>
                <w:lang w:val="mn-MN"/>
              </w:rPr>
              <w:t>8,222.0</w:t>
            </w:r>
          </w:p>
        </w:tc>
      </w:tr>
      <w:tr w:rsidR="00EB07AB" w:rsidRPr="004024BD" w14:paraId="36B85A5E" w14:textId="77777777" w:rsidTr="00FD3D1D">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379" w:type="dxa"/>
            <w:shd w:val="clear" w:color="auto" w:fill="FFFFFF" w:themeFill="background1"/>
            <w:vAlign w:val="center"/>
            <w:hideMark/>
          </w:tcPr>
          <w:p w14:paraId="3711107E" w14:textId="77777777" w:rsidR="00EB07AB" w:rsidRPr="004024BD" w:rsidRDefault="00EB07AB" w:rsidP="00FD3D1D">
            <w:pPr>
              <w:rPr>
                <w:rFonts w:ascii="Arial" w:hAnsi="Arial" w:cs="Arial"/>
                <w:b w:val="0"/>
                <w:color w:val="auto"/>
                <w:sz w:val="20"/>
                <w:szCs w:val="20"/>
                <w:lang w:val="mn-MN"/>
              </w:rPr>
            </w:pPr>
            <w:r w:rsidRPr="004024BD">
              <w:rPr>
                <w:rFonts w:ascii="Arial" w:hAnsi="Arial" w:cs="Arial"/>
                <w:sz w:val="20"/>
                <w:szCs w:val="20"/>
                <w:lang w:val="mn-MN"/>
              </w:rPr>
              <w:t>Шууд хөрөнгө оруулалт: Компани хоорондын зээллэг</w:t>
            </w:r>
          </w:p>
        </w:tc>
        <w:tc>
          <w:tcPr>
            <w:tcW w:w="1846" w:type="dxa"/>
            <w:shd w:val="clear" w:color="auto" w:fill="FFFFFF" w:themeFill="background1"/>
            <w:noWrap/>
            <w:vAlign w:val="center"/>
            <w:hideMark/>
          </w:tcPr>
          <w:p w14:paraId="24B278A8" w14:textId="77777777" w:rsidR="00EB07AB" w:rsidRPr="004024BD" w:rsidRDefault="00EB07AB" w:rsidP="00FD3D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mn-MN"/>
              </w:rPr>
            </w:pPr>
            <w:r w:rsidRPr="004024BD">
              <w:rPr>
                <w:rFonts w:ascii="Arial" w:hAnsi="Arial" w:cs="Arial"/>
                <w:sz w:val="20"/>
                <w:szCs w:val="20"/>
                <w:lang w:val="mn-MN"/>
              </w:rPr>
              <w:t>10,366.2</w:t>
            </w:r>
          </w:p>
        </w:tc>
        <w:tc>
          <w:tcPr>
            <w:tcW w:w="1791" w:type="dxa"/>
            <w:shd w:val="clear" w:color="auto" w:fill="FFFFFF" w:themeFill="background1"/>
            <w:noWrap/>
            <w:vAlign w:val="center"/>
            <w:hideMark/>
          </w:tcPr>
          <w:p w14:paraId="6DCB986D" w14:textId="77777777" w:rsidR="00EB07AB" w:rsidRPr="004024BD" w:rsidRDefault="00EB07AB" w:rsidP="00FD3D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mn-MN"/>
              </w:rPr>
            </w:pPr>
            <w:r w:rsidRPr="004024BD">
              <w:rPr>
                <w:rFonts w:ascii="Arial" w:hAnsi="Arial" w:cs="Arial"/>
                <w:sz w:val="20"/>
                <w:szCs w:val="20"/>
                <w:lang w:val="mn-MN"/>
              </w:rPr>
              <w:t>11,405.8</w:t>
            </w:r>
          </w:p>
        </w:tc>
        <w:tc>
          <w:tcPr>
            <w:tcW w:w="1791" w:type="dxa"/>
            <w:shd w:val="clear" w:color="auto" w:fill="FFFFFF" w:themeFill="background1"/>
            <w:noWrap/>
            <w:vAlign w:val="center"/>
            <w:hideMark/>
          </w:tcPr>
          <w:p w14:paraId="36A36DCE" w14:textId="77777777" w:rsidR="00EB07AB" w:rsidRPr="004024BD" w:rsidRDefault="00EB07AB" w:rsidP="00FD3D1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mn-MN"/>
              </w:rPr>
            </w:pPr>
            <w:r w:rsidRPr="004024BD">
              <w:rPr>
                <w:rFonts w:ascii="Arial" w:hAnsi="Arial" w:cs="Arial"/>
                <w:sz w:val="20"/>
                <w:szCs w:val="20"/>
                <w:lang w:val="mn-MN"/>
              </w:rPr>
              <w:t>12,272.7</w:t>
            </w:r>
          </w:p>
        </w:tc>
      </w:tr>
      <w:tr w:rsidR="00EB07AB" w:rsidRPr="004024BD" w14:paraId="20E6EF50" w14:textId="77777777" w:rsidTr="00FD3D1D">
        <w:trPr>
          <w:trHeight w:val="353"/>
          <w:jc w:val="center"/>
        </w:trPr>
        <w:tc>
          <w:tcPr>
            <w:cnfStyle w:val="001000000000" w:firstRow="0" w:lastRow="0" w:firstColumn="1" w:lastColumn="0" w:oddVBand="0" w:evenVBand="0" w:oddHBand="0" w:evenHBand="0" w:firstRowFirstColumn="0" w:firstRowLastColumn="0" w:lastRowFirstColumn="0" w:lastRowLastColumn="0"/>
            <w:tcW w:w="4379" w:type="dxa"/>
            <w:tcBorders>
              <w:left w:val="nil"/>
              <w:bottom w:val="single" w:sz="4" w:space="0" w:color="auto"/>
            </w:tcBorders>
            <w:shd w:val="clear" w:color="auto" w:fill="FFFFFF" w:themeFill="background1"/>
            <w:vAlign w:val="center"/>
            <w:hideMark/>
          </w:tcPr>
          <w:p w14:paraId="596F9C84" w14:textId="77777777" w:rsidR="00EB07AB" w:rsidRPr="004024BD" w:rsidRDefault="00EB07AB" w:rsidP="00FD3D1D">
            <w:pPr>
              <w:rPr>
                <w:rFonts w:ascii="Arial" w:hAnsi="Arial" w:cs="Arial"/>
                <w:color w:val="auto"/>
                <w:sz w:val="20"/>
                <w:szCs w:val="20"/>
                <w:lang w:val="mn-MN"/>
              </w:rPr>
            </w:pPr>
            <w:r w:rsidRPr="004024BD">
              <w:rPr>
                <w:rFonts w:ascii="Arial" w:hAnsi="Arial" w:cs="Arial"/>
                <w:sz w:val="20"/>
                <w:szCs w:val="20"/>
                <w:lang w:val="mn-MN"/>
              </w:rPr>
              <w:t>Нийт гадаад өрийн үлдэгдэл</w:t>
            </w:r>
          </w:p>
        </w:tc>
        <w:tc>
          <w:tcPr>
            <w:tcW w:w="1846" w:type="dxa"/>
            <w:tcBorders>
              <w:bottom w:val="single" w:sz="4" w:space="0" w:color="auto"/>
            </w:tcBorders>
            <w:shd w:val="clear" w:color="auto" w:fill="FFFFFF" w:themeFill="background1"/>
            <w:noWrap/>
            <w:vAlign w:val="center"/>
            <w:hideMark/>
          </w:tcPr>
          <w:p w14:paraId="29D46206" w14:textId="77777777" w:rsidR="00EB07AB" w:rsidRPr="004024BD" w:rsidRDefault="00EB07AB" w:rsidP="00FD3D1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lang w:val="mn-MN"/>
              </w:rPr>
            </w:pPr>
            <w:r w:rsidRPr="004024BD">
              <w:rPr>
                <w:rFonts w:ascii="Arial" w:hAnsi="Arial" w:cs="Arial"/>
                <w:b/>
                <w:sz w:val="20"/>
                <w:szCs w:val="20"/>
                <w:lang w:val="mn-MN"/>
              </w:rPr>
              <w:t>30,702.3</w:t>
            </w:r>
          </w:p>
        </w:tc>
        <w:tc>
          <w:tcPr>
            <w:tcW w:w="1791" w:type="dxa"/>
            <w:tcBorders>
              <w:bottom w:val="single" w:sz="4" w:space="0" w:color="auto"/>
            </w:tcBorders>
            <w:shd w:val="clear" w:color="auto" w:fill="FFFFFF" w:themeFill="background1"/>
            <w:noWrap/>
            <w:vAlign w:val="center"/>
            <w:hideMark/>
          </w:tcPr>
          <w:p w14:paraId="53C15380" w14:textId="77777777" w:rsidR="00EB07AB" w:rsidRPr="004024BD" w:rsidRDefault="00EB07AB" w:rsidP="00FD3D1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lang w:val="mn-MN"/>
              </w:rPr>
            </w:pPr>
            <w:r w:rsidRPr="004024BD">
              <w:rPr>
                <w:rFonts w:ascii="Arial" w:hAnsi="Arial" w:cs="Arial"/>
                <w:b/>
                <w:sz w:val="20"/>
                <w:szCs w:val="20"/>
                <w:lang w:val="mn-MN"/>
              </w:rPr>
              <w:t>32,361.8</w:t>
            </w:r>
          </w:p>
        </w:tc>
        <w:tc>
          <w:tcPr>
            <w:tcW w:w="1791" w:type="dxa"/>
            <w:tcBorders>
              <w:bottom w:val="single" w:sz="4" w:space="0" w:color="auto"/>
              <w:right w:val="nil"/>
            </w:tcBorders>
            <w:shd w:val="clear" w:color="auto" w:fill="FFFFFF" w:themeFill="background1"/>
            <w:noWrap/>
            <w:vAlign w:val="center"/>
            <w:hideMark/>
          </w:tcPr>
          <w:p w14:paraId="3AAD2EBE" w14:textId="77777777" w:rsidR="00EB07AB" w:rsidRPr="004024BD" w:rsidRDefault="00EB07AB" w:rsidP="00FD3D1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lang w:val="mn-MN"/>
              </w:rPr>
            </w:pPr>
            <w:r w:rsidRPr="004024BD">
              <w:rPr>
                <w:rFonts w:ascii="Arial" w:hAnsi="Arial" w:cs="Arial"/>
                <w:b/>
                <w:sz w:val="20"/>
                <w:szCs w:val="20"/>
                <w:lang w:val="mn-MN"/>
              </w:rPr>
              <w:t>33,190.4</w:t>
            </w:r>
          </w:p>
        </w:tc>
      </w:tr>
    </w:tbl>
    <w:p w14:paraId="5677A40E" w14:textId="77777777" w:rsidR="00EB07AB" w:rsidRPr="004024BD" w:rsidRDefault="00EB07AB" w:rsidP="00EB07AB">
      <w:pPr>
        <w:pStyle w:val="ListParagraph"/>
        <w:ind w:left="5760" w:firstLine="720"/>
        <w:jc w:val="center"/>
        <w:rPr>
          <w:rFonts w:ascii="Arial" w:hAnsi="Arial" w:cs="Arial"/>
          <w:i/>
          <w:lang w:val="mn-MN"/>
        </w:rPr>
      </w:pPr>
      <w:r w:rsidRPr="004024BD">
        <w:rPr>
          <w:rFonts w:ascii="Arial" w:hAnsi="Arial" w:cs="Arial"/>
          <w:i/>
          <w:lang w:val="mn-MN"/>
        </w:rPr>
        <w:t xml:space="preserve">          Эх сурвалж: Монголбанк</w:t>
      </w:r>
    </w:p>
    <w:p w14:paraId="46DD9EAD" w14:textId="77777777" w:rsidR="00EB07AB" w:rsidRPr="004024BD" w:rsidRDefault="00EB07AB" w:rsidP="00EB07AB">
      <w:pPr>
        <w:pStyle w:val="ListParagraph"/>
        <w:spacing w:after="0" w:line="240" w:lineRule="auto"/>
        <w:ind w:left="5760" w:firstLine="720"/>
        <w:jc w:val="center"/>
        <w:rPr>
          <w:rFonts w:ascii="Arial" w:hAnsi="Arial" w:cs="Arial"/>
          <w:color w:val="000000" w:themeColor="text1"/>
          <w:lang w:val="mn-MN"/>
        </w:rPr>
      </w:pPr>
      <w:r w:rsidRPr="004024BD">
        <w:rPr>
          <w:rFonts w:ascii="Arial" w:hAnsi="Arial" w:cs="Arial"/>
          <w:color w:val="000000" w:themeColor="text1"/>
          <w:lang w:val="mn-MN"/>
        </w:rPr>
        <w:tab/>
      </w:r>
    </w:p>
    <w:p w14:paraId="3F1D3AC6" w14:textId="77777777" w:rsidR="00EB07AB" w:rsidRPr="004024BD" w:rsidRDefault="00EB07AB" w:rsidP="00EB07AB">
      <w:pPr>
        <w:spacing w:after="0" w:line="240" w:lineRule="auto"/>
        <w:ind w:firstLine="720"/>
        <w:rPr>
          <w:rFonts w:ascii="Arial" w:hAnsi="Arial" w:cs="Arial"/>
          <w:color w:val="000000" w:themeColor="text1"/>
          <w:lang w:val="mn-MN"/>
        </w:rPr>
      </w:pPr>
      <w:r w:rsidRPr="004024BD">
        <w:rPr>
          <w:rFonts w:ascii="Arial" w:hAnsi="Arial" w:cs="Arial"/>
          <w:color w:val="000000" w:themeColor="text1"/>
          <w:lang w:val="mn-MN"/>
        </w:rPr>
        <w:t>График</w:t>
      </w:r>
      <w:r w:rsidRPr="004024BD" w:rsidDel="00315F1E">
        <w:rPr>
          <w:rFonts w:ascii="Arial" w:hAnsi="Arial" w:cs="Arial"/>
          <w:color w:val="000000" w:themeColor="text1"/>
          <w:lang w:val="mn-MN"/>
        </w:rPr>
        <w:t xml:space="preserve"> </w:t>
      </w:r>
      <w:r w:rsidRPr="004024BD">
        <w:rPr>
          <w:rFonts w:ascii="Arial" w:hAnsi="Arial" w:cs="Arial"/>
          <w:color w:val="000000" w:themeColor="text1"/>
          <w:lang w:val="mn-MN"/>
        </w:rPr>
        <w:t>№1: Улсын нийт гадаад өрийн бүтэц, 2021 он</w:t>
      </w:r>
    </w:p>
    <w:p w14:paraId="5F64954B" w14:textId="77777777" w:rsidR="00EB07AB" w:rsidRPr="004024BD" w:rsidRDefault="00EB07AB" w:rsidP="00EB07AB">
      <w:pPr>
        <w:rPr>
          <w:lang w:val="mn-MN"/>
        </w:rPr>
      </w:pPr>
    </w:p>
    <w:p w14:paraId="30C05682" w14:textId="77777777" w:rsidR="00EB07AB" w:rsidRPr="004024BD" w:rsidRDefault="00EB07AB" w:rsidP="00EB07AB">
      <w:pPr>
        <w:rPr>
          <w:lang w:val="mn-MN"/>
        </w:rPr>
      </w:pPr>
      <w:r w:rsidRPr="004024BD">
        <w:rPr>
          <w:noProof/>
          <w:lang w:val="mn-MN"/>
        </w:rPr>
        <w:drawing>
          <wp:inline distT="0" distB="0" distL="0" distR="0" wp14:anchorId="208E8D3E" wp14:editId="17CD3D12">
            <wp:extent cx="5753100" cy="1990579"/>
            <wp:effectExtent l="0" t="0" r="0" b="0"/>
            <wp:docPr id="9" name="Chart 9">
              <a:extLst xmlns:a="http://schemas.openxmlformats.org/drawingml/2006/main">
                <a:ext uri="{FF2B5EF4-FFF2-40B4-BE49-F238E27FC236}">
                  <a16:creationId xmlns:a16="http://schemas.microsoft.com/office/drawing/2014/main" id="{6B0A1181-66D3-4B65-99F7-A002F746B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C38128" w14:textId="77777777" w:rsidR="00EB07AB" w:rsidRPr="004024BD" w:rsidRDefault="00EB07AB" w:rsidP="00EB07AB">
      <w:pPr>
        <w:pStyle w:val="Heading2"/>
        <w:spacing w:after="240"/>
        <w:rPr>
          <w:szCs w:val="24"/>
        </w:rPr>
      </w:pPr>
      <w:r w:rsidRPr="004024BD">
        <w:rPr>
          <w:szCs w:val="24"/>
        </w:rPr>
        <w:lastRenderedPageBreak/>
        <w:tab/>
      </w:r>
      <w:r w:rsidRPr="004024BD">
        <w:rPr>
          <w:szCs w:val="24"/>
        </w:rPr>
        <w:tab/>
        <w:t>1.2.Засгийн газрын өр</w:t>
      </w:r>
      <w:r w:rsidRPr="004024BD">
        <w:rPr>
          <w:szCs w:val="24"/>
          <w:vertAlign w:val="superscript"/>
        </w:rPr>
        <w:footnoteReference w:id="2"/>
      </w:r>
    </w:p>
    <w:p w14:paraId="303EC3C2" w14:textId="77777777" w:rsidR="00EB07AB" w:rsidRPr="004024BD" w:rsidRDefault="00EB07AB" w:rsidP="00EB07AB">
      <w:pPr>
        <w:spacing w:after="0" w:line="240" w:lineRule="auto"/>
        <w:ind w:firstLine="720"/>
        <w:jc w:val="both"/>
        <w:rPr>
          <w:rFonts w:ascii="Arial" w:hAnsi="Arial" w:cs="Arial"/>
          <w:sz w:val="24"/>
          <w:szCs w:val="24"/>
          <w:lang w:val="mn-MN"/>
        </w:rPr>
      </w:pPr>
      <w:r w:rsidRPr="004024BD">
        <w:rPr>
          <w:rFonts w:ascii="Arial" w:hAnsi="Arial" w:cs="Arial"/>
          <w:sz w:val="24"/>
          <w:szCs w:val="24"/>
          <w:lang w:val="mn-MN"/>
        </w:rPr>
        <w:t xml:space="preserve">Засгийн газрын өрийн үлдэгдэл 2021 оны жилийн эцсийн урьдчилсан гүйцэтгэлээр 26,918.1 тэрбум төгрөг байгаа бөгөөд өнөөгийн үнэ цэнээр </w:t>
      </w:r>
      <w:r w:rsidRPr="004024BD">
        <w:rPr>
          <w:rFonts w:ascii="Arial" w:hAnsi="Arial" w:cs="Arial"/>
          <w:color w:val="000000"/>
          <w:sz w:val="24"/>
          <w:szCs w:val="24"/>
          <w:lang w:val="mn-MN"/>
        </w:rPr>
        <w:t>илэрхийлэгдсэн</w:t>
      </w:r>
      <w:r w:rsidRPr="004024BD">
        <w:rPr>
          <w:rFonts w:ascii="Arial" w:hAnsi="Arial" w:cs="Arial"/>
          <w:sz w:val="24"/>
          <w:szCs w:val="24"/>
          <w:lang w:val="mn-MN"/>
        </w:rPr>
        <w:t xml:space="preserve"> Засгийн газрын өрийн үлдэгдлийн дотоодын нийт бүтээгдэхүүн /цаашид “ДНБ” гэх/</w:t>
      </w:r>
      <w:r w:rsidRPr="004024BD">
        <w:rPr>
          <w:rFonts w:ascii="Arial" w:hAnsi="Arial" w:cs="Arial"/>
          <w:strike/>
          <w:sz w:val="24"/>
          <w:szCs w:val="24"/>
          <w:lang w:val="mn-MN"/>
        </w:rPr>
        <w:t>-</w:t>
      </w:r>
      <w:r w:rsidRPr="004024BD">
        <w:rPr>
          <w:rFonts w:ascii="Arial" w:hAnsi="Arial" w:cs="Arial"/>
          <w:sz w:val="24"/>
          <w:szCs w:val="24"/>
          <w:lang w:val="mn-MN"/>
        </w:rPr>
        <w:t>д</w:t>
      </w:r>
      <w:r w:rsidRPr="004024BD">
        <w:rPr>
          <w:rFonts w:ascii="Arial" w:hAnsi="Arial" w:cs="Arial"/>
          <w:sz w:val="24"/>
          <w:szCs w:val="24"/>
          <w:u w:val="single"/>
          <w:lang w:val="mn-MN"/>
        </w:rPr>
        <w:t xml:space="preserve"> </w:t>
      </w:r>
      <w:r w:rsidRPr="004024BD">
        <w:rPr>
          <w:rFonts w:ascii="Arial" w:hAnsi="Arial" w:cs="Arial"/>
          <w:sz w:val="24"/>
          <w:szCs w:val="24"/>
          <w:lang w:val="mn-MN"/>
        </w:rPr>
        <w:t>эзлэх хувь 50.7 хувьд хүрч, 2019 оны мөн үеэс 4.4 хувиар буурсан үзүүлэлттэй байна.</w:t>
      </w:r>
    </w:p>
    <w:p w14:paraId="72E8B65A" w14:textId="77777777" w:rsidR="00EB07AB" w:rsidRPr="004024BD" w:rsidRDefault="00EB07AB" w:rsidP="00EB07AB">
      <w:pPr>
        <w:spacing w:after="0" w:line="240" w:lineRule="auto"/>
        <w:rPr>
          <w:rFonts w:ascii="Arial" w:hAnsi="Arial" w:cs="Arial"/>
          <w:sz w:val="24"/>
          <w:szCs w:val="24"/>
          <w:lang w:val="mn-MN"/>
        </w:rPr>
      </w:pPr>
    </w:p>
    <w:p w14:paraId="64A88278" w14:textId="77777777" w:rsidR="00EB07AB" w:rsidRPr="004024BD" w:rsidRDefault="00EB07AB" w:rsidP="00EB07AB">
      <w:pPr>
        <w:spacing w:after="0" w:line="240" w:lineRule="auto"/>
        <w:ind w:firstLine="720"/>
        <w:rPr>
          <w:rFonts w:ascii="Arial" w:hAnsi="Arial" w:cs="Arial"/>
          <w:b/>
          <w:i/>
          <w:lang w:val="mn-MN"/>
        </w:rPr>
      </w:pPr>
      <w:r w:rsidRPr="004024BD">
        <w:rPr>
          <w:rFonts w:ascii="Arial" w:hAnsi="Arial" w:cs="Arial"/>
          <w:i/>
          <w:lang w:val="mn-MN"/>
        </w:rPr>
        <w:t>Хүснэгт №2: Засгийн газрын өр</w:t>
      </w:r>
      <w:r w:rsidRPr="004024BD">
        <w:rPr>
          <w:rFonts w:ascii="Arial" w:hAnsi="Arial" w:cs="Arial"/>
          <w:lang w:val="mn-MN"/>
        </w:rPr>
        <w:t>,</w:t>
      </w:r>
      <w:r w:rsidRPr="004024BD">
        <w:rPr>
          <w:rFonts w:ascii="Arial" w:hAnsi="Arial" w:cs="Arial"/>
          <w:i/>
          <w:lang w:val="mn-MN"/>
        </w:rPr>
        <w:t xml:space="preserve"> 2019-2022 он</w:t>
      </w:r>
      <w:r w:rsidRPr="004024BD">
        <w:rPr>
          <w:rFonts w:ascii="Arial" w:hAnsi="Arial" w:cs="Arial"/>
          <w:b/>
          <w:i/>
          <w:lang w:val="mn-MN"/>
        </w:rPr>
        <w:t xml:space="preserve"> </w:t>
      </w:r>
      <w:r w:rsidRPr="004024BD">
        <w:rPr>
          <w:rFonts w:ascii="Arial" w:hAnsi="Arial" w:cs="Arial"/>
          <w:b/>
          <w:i/>
          <w:lang w:val="mn-MN"/>
        </w:rPr>
        <w:tab/>
      </w:r>
      <w:r w:rsidRPr="004024BD">
        <w:rPr>
          <w:rFonts w:ascii="Arial" w:hAnsi="Arial" w:cs="Arial"/>
          <w:b/>
          <w:i/>
          <w:lang w:val="mn-MN"/>
        </w:rPr>
        <w:tab/>
      </w:r>
      <w:r w:rsidRPr="004024BD">
        <w:rPr>
          <w:rFonts w:ascii="Arial" w:hAnsi="Arial" w:cs="Arial"/>
          <w:b/>
          <w:i/>
          <w:lang w:val="mn-MN"/>
        </w:rPr>
        <w:tab/>
      </w:r>
      <w:r w:rsidRPr="004024BD">
        <w:rPr>
          <w:rFonts w:ascii="Arial" w:hAnsi="Arial" w:cs="Arial"/>
          <w:b/>
          <w:i/>
          <w:lang w:val="mn-MN"/>
        </w:rPr>
        <w:tab/>
      </w:r>
    </w:p>
    <w:p w14:paraId="2FA22577" w14:textId="77777777" w:rsidR="00EB07AB" w:rsidRPr="004024BD" w:rsidRDefault="00EB07AB" w:rsidP="00EB07AB">
      <w:pPr>
        <w:spacing w:after="0"/>
        <w:rPr>
          <w:rFonts w:ascii="Arial" w:hAnsi="Arial" w:cs="Arial"/>
          <w:b/>
          <w:i/>
          <w:lang w:val="mn-MN"/>
        </w:rPr>
      </w:pPr>
      <w:r w:rsidRPr="004024BD">
        <w:rPr>
          <w:rFonts w:ascii="Arial" w:hAnsi="Arial" w:cs="Arial"/>
          <w:i/>
          <w:lang w:val="mn-MN"/>
        </w:rPr>
        <w:t xml:space="preserve">                                                      </w:t>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t xml:space="preserve">           /тэрбум төгрөг/</w:t>
      </w:r>
    </w:p>
    <w:tbl>
      <w:tblPr>
        <w:tblStyle w:val="TableGrid"/>
        <w:tblW w:w="936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8"/>
        <w:gridCol w:w="1604"/>
        <w:gridCol w:w="1603"/>
        <w:gridCol w:w="1312"/>
      </w:tblGrid>
      <w:tr w:rsidR="00EB07AB" w:rsidRPr="004024BD" w14:paraId="39E30327" w14:textId="77777777" w:rsidTr="00FD3D1D">
        <w:trPr>
          <w:trHeight w:val="333"/>
        </w:trPr>
        <w:tc>
          <w:tcPr>
            <w:tcW w:w="4848" w:type="dxa"/>
            <w:tcBorders>
              <w:top w:val="single" w:sz="4" w:space="0" w:color="auto"/>
              <w:bottom w:val="single" w:sz="4" w:space="0" w:color="auto"/>
            </w:tcBorders>
            <w:shd w:val="clear" w:color="auto" w:fill="1F3864" w:themeFill="accent1" w:themeFillShade="80"/>
            <w:vAlign w:val="center"/>
          </w:tcPr>
          <w:p w14:paraId="7A8400F9" w14:textId="77777777" w:rsidR="00EB07AB" w:rsidRPr="004024BD" w:rsidRDefault="00EB07AB" w:rsidP="00FD3D1D">
            <w:pPr>
              <w:rPr>
                <w:rFonts w:ascii="Arial" w:hAnsi="Arial" w:cs="Arial"/>
                <w:b/>
                <w:sz w:val="20"/>
                <w:szCs w:val="20"/>
                <w:lang w:val="mn-MN"/>
              </w:rPr>
            </w:pPr>
            <w:r w:rsidRPr="004024BD">
              <w:rPr>
                <w:rFonts w:ascii="Arial" w:hAnsi="Arial" w:cs="Arial"/>
                <w:b/>
                <w:sz w:val="20"/>
                <w:szCs w:val="20"/>
                <w:lang w:val="mn-MN"/>
              </w:rPr>
              <w:t>ӨРИЙН БҮТЭЦ, ӨРИЙН ХЭРЭГСЭЛ</w:t>
            </w:r>
          </w:p>
        </w:tc>
        <w:tc>
          <w:tcPr>
            <w:tcW w:w="1604" w:type="dxa"/>
            <w:tcBorders>
              <w:top w:val="single" w:sz="4" w:space="0" w:color="auto"/>
              <w:bottom w:val="single" w:sz="4" w:space="0" w:color="auto"/>
            </w:tcBorders>
            <w:shd w:val="clear" w:color="auto" w:fill="1F3864" w:themeFill="accent1" w:themeFillShade="80"/>
            <w:vAlign w:val="center"/>
          </w:tcPr>
          <w:p w14:paraId="352639E2" w14:textId="77777777" w:rsidR="00EB07AB" w:rsidRPr="004024BD" w:rsidRDefault="00EB07AB" w:rsidP="00FD3D1D">
            <w:pPr>
              <w:jc w:val="right"/>
              <w:rPr>
                <w:rFonts w:ascii="Arial" w:hAnsi="Arial" w:cs="Arial"/>
                <w:b/>
                <w:sz w:val="20"/>
                <w:szCs w:val="20"/>
                <w:lang w:val="mn-MN"/>
              </w:rPr>
            </w:pPr>
            <w:r w:rsidRPr="004024BD">
              <w:rPr>
                <w:rFonts w:ascii="Arial" w:hAnsi="Arial" w:cs="Arial"/>
                <w:b/>
                <w:sz w:val="20"/>
                <w:szCs w:val="20"/>
                <w:lang w:val="mn-MN"/>
              </w:rPr>
              <w:t xml:space="preserve">2019 </w:t>
            </w:r>
          </w:p>
        </w:tc>
        <w:tc>
          <w:tcPr>
            <w:tcW w:w="1603" w:type="dxa"/>
            <w:tcBorders>
              <w:top w:val="single" w:sz="4" w:space="0" w:color="auto"/>
              <w:bottom w:val="single" w:sz="4" w:space="0" w:color="auto"/>
            </w:tcBorders>
            <w:shd w:val="clear" w:color="auto" w:fill="1F3864" w:themeFill="accent1" w:themeFillShade="80"/>
            <w:vAlign w:val="center"/>
          </w:tcPr>
          <w:p w14:paraId="16875C76" w14:textId="77777777" w:rsidR="00EB07AB" w:rsidRPr="004024BD" w:rsidRDefault="00EB07AB" w:rsidP="00FD3D1D">
            <w:pPr>
              <w:jc w:val="right"/>
              <w:rPr>
                <w:rFonts w:ascii="Arial" w:hAnsi="Arial" w:cs="Arial"/>
                <w:b/>
                <w:sz w:val="20"/>
                <w:szCs w:val="20"/>
                <w:lang w:val="mn-MN"/>
              </w:rPr>
            </w:pPr>
            <w:r w:rsidRPr="004024BD">
              <w:rPr>
                <w:rFonts w:ascii="Arial" w:hAnsi="Arial" w:cs="Arial"/>
                <w:b/>
                <w:sz w:val="20"/>
                <w:szCs w:val="20"/>
                <w:lang w:val="mn-MN"/>
              </w:rPr>
              <w:t xml:space="preserve">2020 </w:t>
            </w:r>
          </w:p>
        </w:tc>
        <w:tc>
          <w:tcPr>
            <w:tcW w:w="1312" w:type="dxa"/>
            <w:tcBorders>
              <w:top w:val="single" w:sz="4" w:space="0" w:color="auto"/>
              <w:bottom w:val="single" w:sz="4" w:space="0" w:color="auto"/>
            </w:tcBorders>
            <w:shd w:val="clear" w:color="auto" w:fill="1F3864" w:themeFill="accent1" w:themeFillShade="80"/>
            <w:vAlign w:val="center"/>
          </w:tcPr>
          <w:p w14:paraId="61F2C7AC" w14:textId="77777777" w:rsidR="00EB07AB" w:rsidRPr="004024BD" w:rsidRDefault="00EB07AB" w:rsidP="00FD3D1D">
            <w:pPr>
              <w:jc w:val="right"/>
              <w:rPr>
                <w:rFonts w:ascii="Arial" w:hAnsi="Arial" w:cs="Arial"/>
                <w:b/>
                <w:sz w:val="20"/>
                <w:szCs w:val="20"/>
                <w:lang w:val="mn-MN"/>
              </w:rPr>
            </w:pPr>
            <w:r w:rsidRPr="004024BD">
              <w:rPr>
                <w:rFonts w:ascii="Arial" w:hAnsi="Arial" w:cs="Arial"/>
                <w:b/>
                <w:sz w:val="20"/>
                <w:szCs w:val="20"/>
                <w:lang w:val="mn-MN"/>
              </w:rPr>
              <w:t xml:space="preserve">2021 </w:t>
            </w:r>
          </w:p>
        </w:tc>
      </w:tr>
      <w:tr w:rsidR="00EB07AB" w:rsidRPr="004024BD" w14:paraId="0DB7A0D6" w14:textId="77777777" w:rsidTr="00FD3D1D">
        <w:trPr>
          <w:trHeight w:val="217"/>
        </w:trPr>
        <w:tc>
          <w:tcPr>
            <w:tcW w:w="4848" w:type="dxa"/>
            <w:tcBorders>
              <w:top w:val="single" w:sz="4" w:space="0" w:color="auto"/>
            </w:tcBorders>
          </w:tcPr>
          <w:p w14:paraId="54FCB7B3" w14:textId="77777777" w:rsidR="00EB07AB" w:rsidRPr="004024BD" w:rsidRDefault="00EB07AB" w:rsidP="00FD3D1D">
            <w:pPr>
              <w:rPr>
                <w:rFonts w:ascii="Arial" w:hAnsi="Arial" w:cs="Arial"/>
                <w:b/>
                <w:sz w:val="20"/>
                <w:szCs w:val="20"/>
                <w:lang w:val="mn-MN"/>
              </w:rPr>
            </w:pPr>
            <w:r w:rsidRPr="004024BD">
              <w:rPr>
                <w:rFonts w:ascii="Arial" w:eastAsia="Times New Roman" w:hAnsi="Arial" w:cs="Arial"/>
                <w:b/>
                <w:sz w:val="20"/>
                <w:szCs w:val="20"/>
                <w:lang w:val="mn-MN"/>
              </w:rPr>
              <w:t>1. Засгийн газрын дотоод өр</w:t>
            </w:r>
          </w:p>
        </w:tc>
        <w:tc>
          <w:tcPr>
            <w:tcW w:w="1604" w:type="dxa"/>
            <w:tcBorders>
              <w:top w:val="single" w:sz="4" w:space="0" w:color="auto"/>
            </w:tcBorders>
            <w:vAlign w:val="center"/>
          </w:tcPr>
          <w:p w14:paraId="7E202145" w14:textId="77777777" w:rsidR="00EB07AB" w:rsidRPr="004024BD" w:rsidRDefault="00EB07AB" w:rsidP="00FD3D1D">
            <w:pPr>
              <w:jc w:val="right"/>
              <w:rPr>
                <w:rFonts w:ascii="Arial" w:hAnsi="Arial" w:cs="Arial"/>
                <w:b/>
                <w:sz w:val="20"/>
                <w:szCs w:val="20"/>
                <w:lang w:val="mn-MN"/>
              </w:rPr>
            </w:pPr>
            <w:r w:rsidRPr="004024BD">
              <w:rPr>
                <w:rFonts w:ascii="Arial" w:hAnsi="Arial" w:cs="Arial"/>
                <w:b/>
                <w:sz w:val="20"/>
                <w:szCs w:val="20"/>
                <w:lang w:val="mn-MN"/>
              </w:rPr>
              <w:t>1,399.6</w:t>
            </w:r>
          </w:p>
        </w:tc>
        <w:tc>
          <w:tcPr>
            <w:tcW w:w="1603" w:type="dxa"/>
            <w:tcBorders>
              <w:top w:val="single" w:sz="4" w:space="0" w:color="auto"/>
            </w:tcBorders>
            <w:vAlign w:val="center"/>
          </w:tcPr>
          <w:p w14:paraId="31A94CB4" w14:textId="77777777" w:rsidR="00EB07AB" w:rsidRPr="004024BD" w:rsidRDefault="00EB07AB" w:rsidP="00FD3D1D">
            <w:pPr>
              <w:jc w:val="right"/>
              <w:rPr>
                <w:rFonts w:ascii="Arial" w:hAnsi="Arial" w:cs="Arial"/>
                <w:b/>
                <w:sz w:val="20"/>
                <w:szCs w:val="20"/>
                <w:lang w:val="mn-MN"/>
              </w:rPr>
            </w:pPr>
            <w:r w:rsidRPr="004024BD">
              <w:rPr>
                <w:rFonts w:ascii="Arial" w:hAnsi="Arial" w:cs="Arial"/>
                <w:b/>
                <w:sz w:val="20"/>
                <w:szCs w:val="20"/>
                <w:lang w:val="mn-MN"/>
              </w:rPr>
              <w:t>1,136.6</w:t>
            </w:r>
          </w:p>
        </w:tc>
        <w:tc>
          <w:tcPr>
            <w:tcW w:w="1312" w:type="dxa"/>
            <w:tcBorders>
              <w:top w:val="single" w:sz="4" w:space="0" w:color="auto"/>
            </w:tcBorders>
            <w:vAlign w:val="center"/>
          </w:tcPr>
          <w:p w14:paraId="46F059F3" w14:textId="77777777" w:rsidR="00EB07AB" w:rsidRPr="004024BD" w:rsidRDefault="00EB07AB" w:rsidP="00FD3D1D">
            <w:pPr>
              <w:jc w:val="right"/>
              <w:rPr>
                <w:rFonts w:ascii="Arial" w:hAnsi="Arial" w:cs="Arial"/>
                <w:b/>
                <w:sz w:val="20"/>
                <w:szCs w:val="20"/>
                <w:lang w:val="mn-MN"/>
              </w:rPr>
            </w:pPr>
            <w:r w:rsidRPr="004024BD">
              <w:rPr>
                <w:rFonts w:ascii="Arial" w:hAnsi="Arial" w:cs="Arial"/>
                <w:b/>
                <w:sz w:val="20"/>
                <w:szCs w:val="20"/>
                <w:lang w:val="mn-MN"/>
              </w:rPr>
              <w:t>657.3</w:t>
            </w:r>
          </w:p>
        </w:tc>
      </w:tr>
      <w:tr w:rsidR="00EB07AB" w:rsidRPr="004024BD" w14:paraId="364FA94B" w14:textId="77777777" w:rsidTr="00FD3D1D">
        <w:trPr>
          <w:trHeight w:val="217"/>
        </w:trPr>
        <w:tc>
          <w:tcPr>
            <w:tcW w:w="4848" w:type="dxa"/>
          </w:tcPr>
          <w:p w14:paraId="58A1F840" w14:textId="77777777" w:rsidR="00EB07AB" w:rsidRPr="004024BD" w:rsidRDefault="00EB07AB" w:rsidP="00FD3D1D">
            <w:pPr>
              <w:rPr>
                <w:rFonts w:ascii="Arial" w:hAnsi="Arial" w:cs="Arial"/>
                <w:sz w:val="20"/>
                <w:szCs w:val="20"/>
                <w:lang w:val="mn-MN"/>
              </w:rPr>
            </w:pPr>
            <w:r w:rsidRPr="004024BD">
              <w:rPr>
                <w:rFonts w:ascii="Arial" w:eastAsia="Times New Roman" w:hAnsi="Arial" w:cs="Arial"/>
                <w:sz w:val="20"/>
                <w:szCs w:val="20"/>
                <w:lang w:val="mn-MN"/>
              </w:rPr>
              <w:t xml:space="preserve">    1.1. Үнэт цаас</w:t>
            </w:r>
          </w:p>
        </w:tc>
        <w:tc>
          <w:tcPr>
            <w:tcW w:w="1604" w:type="dxa"/>
            <w:vAlign w:val="center"/>
          </w:tcPr>
          <w:p w14:paraId="58BD862A"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1,399.6</w:t>
            </w:r>
          </w:p>
        </w:tc>
        <w:tc>
          <w:tcPr>
            <w:tcW w:w="1603" w:type="dxa"/>
            <w:vAlign w:val="center"/>
          </w:tcPr>
          <w:p w14:paraId="79D0EE11"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1,136.6</w:t>
            </w:r>
          </w:p>
        </w:tc>
        <w:tc>
          <w:tcPr>
            <w:tcW w:w="1312" w:type="dxa"/>
            <w:vAlign w:val="center"/>
          </w:tcPr>
          <w:p w14:paraId="5F4A0932"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657.3</w:t>
            </w:r>
          </w:p>
        </w:tc>
      </w:tr>
      <w:tr w:rsidR="00EB07AB" w:rsidRPr="004024BD" w14:paraId="758DE795" w14:textId="77777777" w:rsidTr="00FD3D1D">
        <w:trPr>
          <w:trHeight w:val="217"/>
        </w:trPr>
        <w:tc>
          <w:tcPr>
            <w:tcW w:w="4848" w:type="dxa"/>
          </w:tcPr>
          <w:p w14:paraId="291E6BD4" w14:textId="77777777" w:rsidR="00EB07AB" w:rsidRPr="004024BD" w:rsidRDefault="00EB07AB" w:rsidP="00FD3D1D">
            <w:pPr>
              <w:rPr>
                <w:rFonts w:ascii="Arial" w:hAnsi="Arial" w:cs="Arial"/>
                <w:b/>
                <w:sz w:val="20"/>
                <w:szCs w:val="20"/>
                <w:lang w:val="mn-MN"/>
              </w:rPr>
            </w:pPr>
            <w:r w:rsidRPr="004024BD">
              <w:rPr>
                <w:rFonts w:ascii="Arial" w:eastAsia="Times New Roman" w:hAnsi="Arial" w:cs="Arial"/>
                <w:b/>
                <w:sz w:val="20"/>
                <w:szCs w:val="20"/>
                <w:lang w:val="mn-MN"/>
              </w:rPr>
              <w:t>2. Засгийн газрын гадаад өр</w:t>
            </w:r>
          </w:p>
        </w:tc>
        <w:tc>
          <w:tcPr>
            <w:tcW w:w="1604" w:type="dxa"/>
            <w:vAlign w:val="center"/>
          </w:tcPr>
          <w:p w14:paraId="0F1B65BB" w14:textId="77777777" w:rsidR="00EB07AB" w:rsidRPr="004024BD" w:rsidRDefault="00EB07AB" w:rsidP="00FD3D1D">
            <w:pPr>
              <w:jc w:val="right"/>
              <w:rPr>
                <w:rFonts w:ascii="Arial" w:hAnsi="Arial" w:cs="Arial"/>
                <w:b/>
                <w:sz w:val="20"/>
                <w:szCs w:val="20"/>
                <w:lang w:val="mn-MN"/>
              </w:rPr>
            </w:pPr>
            <w:r w:rsidRPr="004024BD">
              <w:rPr>
                <w:rFonts w:ascii="Arial" w:hAnsi="Arial" w:cs="Arial"/>
                <w:b/>
                <w:sz w:val="20"/>
                <w:szCs w:val="20"/>
                <w:lang w:val="mn-MN"/>
              </w:rPr>
              <w:t>20,728.1</w:t>
            </w:r>
          </w:p>
        </w:tc>
        <w:tc>
          <w:tcPr>
            <w:tcW w:w="1603" w:type="dxa"/>
            <w:vAlign w:val="center"/>
          </w:tcPr>
          <w:p w14:paraId="291A75E0" w14:textId="77777777" w:rsidR="00EB07AB" w:rsidRPr="004024BD" w:rsidRDefault="00EB07AB" w:rsidP="00FD3D1D">
            <w:pPr>
              <w:jc w:val="right"/>
              <w:rPr>
                <w:rFonts w:ascii="Arial" w:hAnsi="Arial" w:cs="Arial"/>
                <w:b/>
                <w:sz w:val="20"/>
                <w:szCs w:val="20"/>
                <w:lang w:val="mn-MN"/>
              </w:rPr>
            </w:pPr>
            <w:r w:rsidRPr="004024BD">
              <w:rPr>
                <w:rFonts w:ascii="Arial" w:hAnsi="Arial" w:cs="Arial"/>
                <w:b/>
                <w:sz w:val="20"/>
                <w:szCs w:val="20"/>
                <w:lang w:val="mn-MN"/>
              </w:rPr>
              <w:t>24,851.4</w:t>
            </w:r>
          </w:p>
        </w:tc>
        <w:tc>
          <w:tcPr>
            <w:tcW w:w="1312" w:type="dxa"/>
            <w:vAlign w:val="center"/>
          </w:tcPr>
          <w:p w14:paraId="7728DC07" w14:textId="77777777" w:rsidR="00EB07AB" w:rsidRPr="004024BD" w:rsidRDefault="00EB07AB" w:rsidP="00FD3D1D">
            <w:pPr>
              <w:jc w:val="right"/>
              <w:rPr>
                <w:rFonts w:ascii="Arial" w:hAnsi="Arial" w:cs="Arial"/>
                <w:b/>
                <w:sz w:val="20"/>
                <w:szCs w:val="20"/>
                <w:lang w:val="mn-MN"/>
              </w:rPr>
            </w:pPr>
            <w:r w:rsidRPr="004024BD">
              <w:rPr>
                <w:rFonts w:ascii="Arial" w:hAnsi="Arial" w:cs="Arial"/>
                <w:b/>
                <w:sz w:val="20"/>
                <w:szCs w:val="20"/>
                <w:lang w:val="mn-MN"/>
              </w:rPr>
              <w:t>24,693.3</w:t>
            </w:r>
          </w:p>
        </w:tc>
      </w:tr>
      <w:tr w:rsidR="00EB07AB" w:rsidRPr="004024BD" w14:paraId="525DA745" w14:textId="77777777" w:rsidTr="00FD3D1D">
        <w:trPr>
          <w:trHeight w:val="217"/>
        </w:trPr>
        <w:tc>
          <w:tcPr>
            <w:tcW w:w="4848" w:type="dxa"/>
          </w:tcPr>
          <w:p w14:paraId="5FFA46D3" w14:textId="77777777" w:rsidR="00EB07AB" w:rsidRPr="004024BD" w:rsidRDefault="00EB07AB" w:rsidP="00FD3D1D">
            <w:pPr>
              <w:rPr>
                <w:rFonts w:ascii="Arial" w:hAnsi="Arial" w:cs="Arial"/>
                <w:sz w:val="20"/>
                <w:szCs w:val="20"/>
                <w:lang w:val="mn-MN"/>
              </w:rPr>
            </w:pPr>
            <w:r w:rsidRPr="004024BD">
              <w:rPr>
                <w:rFonts w:ascii="Arial" w:eastAsia="Times New Roman" w:hAnsi="Arial" w:cs="Arial"/>
                <w:sz w:val="20"/>
                <w:szCs w:val="20"/>
                <w:lang w:val="mn-MN"/>
              </w:rPr>
              <w:t xml:space="preserve">    2.1. Үнэт цаас</w:t>
            </w:r>
          </w:p>
        </w:tc>
        <w:tc>
          <w:tcPr>
            <w:tcW w:w="1604" w:type="dxa"/>
            <w:vAlign w:val="center"/>
          </w:tcPr>
          <w:p w14:paraId="1F7BE4B2"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7,927.2</w:t>
            </w:r>
          </w:p>
        </w:tc>
        <w:tc>
          <w:tcPr>
            <w:tcW w:w="1603" w:type="dxa"/>
            <w:vAlign w:val="center"/>
          </w:tcPr>
          <w:p w14:paraId="6F01448C"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8,354.0</w:t>
            </w:r>
          </w:p>
        </w:tc>
        <w:tc>
          <w:tcPr>
            <w:tcW w:w="1312" w:type="dxa"/>
            <w:vAlign w:val="center"/>
          </w:tcPr>
          <w:p w14:paraId="1EAF9E6E"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8,175.6</w:t>
            </w:r>
          </w:p>
        </w:tc>
      </w:tr>
      <w:tr w:rsidR="00EB07AB" w:rsidRPr="004024BD" w14:paraId="17362B52" w14:textId="77777777" w:rsidTr="00FD3D1D">
        <w:trPr>
          <w:trHeight w:val="217"/>
        </w:trPr>
        <w:tc>
          <w:tcPr>
            <w:tcW w:w="4848" w:type="dxa"/>
          </w:tcPr>
          <w:p w14:paraId="6DE6DC94" w14:textId="77777777" w:rsidR="00EB07AB" w:rsidRPr="004024BD" w:rsidRDefault="00EB07AB" w:rsidP="00FD3D1D">
            <w:pPr>
              <w:rPr>
                <w:rFonts w:ascii="Arial" w:hAnsi="Arial" w:cs="Arial"/>
                <w:sz w:val="20"/>
                <w:szCs w:val="20"/>
                <w:lang w:val="mn-MN"/>
              </w:rPr>
            </w:pPr>
            <w:r w:rsidRPr="004024BD">
              <w:rPr>
                <w:rFonts w:ascii="Arial" w:eastAsia="Times New Roman" w:hAnsi="Arial" w:cs="Arial"/>
                <w:sz w:val="20"/>
                <w:szCs w:val="20"/>
                <w:lang w:val="mn-MN"/>
              </w:rPr>
              <w:t xml:space="preserve">    2.2. Зээл</w:t>
            </w:r>
          </w:p>
        </w:tc>
        <w:tc>
          <w:tcPr>
            <w:tcW w:w="1604" w:type="dxa"/>
            <w:vAlign w:val="center"/>
          </w:tcPr>
          <w:p w14:paraId="4CA903CA"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12,800.9</w:t>
            </w:r>
          </w:p>
        </w:tc>
        <w:tc>
          <w:tcPr>
            <w:tcW w:w="1603" w:type="dxa"/>
            <w:vAlign w:val="center"/>
          </w:tcPr>
          <w:p w14:paraId="0B033720"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16,497.4</w:t>
            </w:r>
          </w:p>
        </w:tc>
        <w:tc>
          <w:tcPr>
            <w:tcW w:w="1312" w:type="dxa"/>
            <w:vAlign w:val="center"/>
          </w:tcPr>
          <w:p w14:paraId="156678D4"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16,517.7</w:t>
            </w:r>
          </w:p>
        </w:tc>
      </w:tr>
      <w:tr w:rsidR="00EB07AB" w:rsidRPr="004024BD" w14:paraId="013111E8" w14:textId="77777777" w:rsidTr="00FD3D1D">
        <w:trPr>
          <w:trHeight w:val="217"/>
        </w:trPr>
        <w:tc>
          <w:tcPr>
            <w:tcW w:w="4848" w:type="dxa"/>
          </w:tcPr>
          <w:p w14:paraId="14289526" w14:textId="77777777" w:rsidR="00EB07AB" w:rsidRPr="004024BD" w:rsidRDefault="00EB07AB" w:rsidP="00FD3D1D">
            <w:pPr>
              <w:rPr>
                <w:rFonts w:ascii="Arial" w:hAnsi="Arial" w:cs="Arial"/>
                <w:b/>
                <w:sz w:val="20"/>
                <w:szCs w:val="20"/>
                <w:lang w:val="mn-MN"/>
              </w:rPr>
            </w:pPr>
            <w:r w:rsidRPr="004024BD">
              <w:rPr>
                <w:rFonts w:ascii="Arial" w:eastAsia="Times New Roman" w:hAnsi="Arial" w:cs="Arial"/>
                <w:b/>
                <w:sz w:val="20"/>
                <w:szCs w:val="20"/>
                <w:lang w:val="mn-MN"/>
              </w:rPr>
              <w:t>3. Бусад өр төлбөр</w:t>
            </w:r>
          </w:p>
        </w:tc>
        <w:tc>
          <w:tcPr>
            <w:tcW w:w="1604" w:type="dxa"/>
            <w:vAlign w:val="center"/>
          </w:tcPr>
          <w:p w14:paraId="73EE9AA8" w14:textId="77777777" w:rsidR="00EB07AB" w:rsidRPr="004024BD" w:rsidRDefault="00EB07AB" w:rsidP="00FD3D1D">
            <w:pPr>
              <w:jc w:val="right"/>
              <w:rPr>
                <w:rFonts w:ascii="Arial" w:hAnsi="Arial" w:cs="Arial"/>
                <w:b/>
                <w:sz w:val="20"/>
                <w:szCs w:val="20"/>
                <w:lang w:val="mn-MN"/>
              </w:rPr>
            </w:pPr>
            <w:r w:rsidRPr="004024BD">
              <w:rPr>
                <w:rFonts w:ascii="Arial" w:hAnsi="Arial" w:cs="Arial"/>
                <w:b/>
                <w:sz w:val="20"/>
                <w:szCs w:val="20"/>
                <w:lang w:val="mn-MN"/>
              </w:rPr>
              <w:t>2072.0</w:t>
            </w:r>
          </w:p>
        </w:tc>
        <w:tc>
          <w:tcPr>
            <w:tcW w:w="1603" w:type="dxa"/>
            <w:vAlign w:val="center"/>
          </w:tcPr>
          <w:p w14:paraId="23B026A7" w14:textId="77777777" w:rsidR="00EB07AB" w:rsidRPr="004024BD" w:rsidRDefault="00EB07AB" w:rsidP="00FD3D1D">
            <w:pPr>
              <w:jc w:val="right"/>
              <w:rPr>
                <w:rFonts w:ascii="Arial" w:hAnsi="Arial" w:cs="Arial"/>
                <w:b/>
                <w:sz w:val="20"/>
                <w:szCs w:val="20"/>
                <w:lang w:val="mn-MN"/>
              </w:rPr>
            </w:pPr>
            <w:r w:rsidRPr="004024BD">
              <w:rPr>
                <w:rFonts w:ascii="Arial" w:hAnsi="Arial" w:cs="Arial"/>
                <w:b/>
                <w:sz w:val="20"/>
                <w:szCs w:val="20"/>
                <w:lang w:val="mn-MN"/>
              </w:rPr>
              <w:t>1,910.6</w:t>
            </w:r>
          </w:p>
        </w:tc>
        <w:tc>
          <w:tcPr>
            <w:tcW w:w="1312" w:type="dxa"/>
            <w:vAlign w:val="center"/>
          </w:tcPr>
          <w:p w14:paraId="37C7A5D1" w14:textId="77777777" w:rsidR="00EB07AB" w:rsidRPr="004024BD" w:rsidRDefault="00EB07AB" w:rsidP="00FD3D1D">
            <w:pPr>
              <w:jc w:val="right"/>
              <w:rPr>
                <w:rFonts w:ascii="Arial" w:hAnsi="Arial" w:cs="Arial"/>
                <w:b/>
                <w:sz w:val="20"/>
                <w:szCs w:val="20"/>
                <w:lang w:val="mn-MN"/>
              </w:rPr>
            </w:pPr>
            <w:r w:rsidRPr="004024BD">
              <w:rPr>
                <w:rFonts w:ascii="Arial" w:hAnsi="Arial" w:cs="Arial"/>
                <w:b/>
                <w:sz w:val="20"/>
                <w:szCs w:val="20"/>
                <w:lang w:val="mn-MN"/>
              </w:rPr>
              <w:t>1,550.4</w:t>
            </w:r>
          </w:p>
        </w:tc>
      </w:tr>
      <w:tr w:rsidR="00EB07AB" w:rsidRPr="004024BD" w14:paraId="4054EA4C" w14:textId="77777777" w:rsidTr="00FD3D1D">
        <w:trPr>
          <w:trHeight w:val="217"/>
        </w:trPr>
        <w:tc>
          <w:tcPr>
            <w:tcW w:w="4848" w:type="dxa"/>
          </w:tcPr>
          <w:p w14:paraId="52888FA0" w14:textId="77777777" w:rsidR="00EB07AB" w:rsidRPr="004024BD" w:rsidRDefault="00EB07AB" w:rsidP="00FD3D1D">
            <w:pPr>
              <w:rPr>
                <w:rFonts w:ascii="Arial" w:hAnsi="Arial" w:cs="Arial"/>
                <w:sz w:val="20"/>
                <w:szCs w:val="20"/>
                <w:lang w:val="mn-MN"/>
              </w:rPr>
            </w:pPr>
            <w:r w:rsidRPr="004024BD">
              <w:rPr>
                <w:rFonts w:ascii="Arial" w:eastAsia="Times New Roman" w:hAnsi="Arial" w:cs="Arial"/>
                <w:b/>
                <w:sz w:val="20"/>
                <w:szCs w:val="20"/>
                <w:lang w:val="mn-MN"/>
              </w:rPr>
              <w:t xml:space="preserve">    </w:t>
            </w:r>
            <w:r w:rsidRPr="004024BD">
              <w:rPr>
                <w:rFonts w:ascii="Arial" w:eastAsia="Times New Roman" w:hAnsi="Arial" w:cs="Arial"/>
                <w:sz w:val="20"/>
                <w:szCs w:val="20"/>
                <w:lang w:val="mn-MN"/>
              </w:rPr>
              <w:t>3.1. Засгийн газрын өрийн баталгаа</w:t>
            </w:r>
          </w:p>
        </w:tc>
        <w:tc>
          <w:tcPr>
            <w:tcW w:w="1604" w:type="dxa"/>
            <w:vAlign w:val="center"/>
          </w:tcPr>
          <w:p w14:paraId="5BFADC9E"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1,076.3</w:t>
            </w:r>
          </w:p>
        </w:tc>
        <w:tc>
          <w:tcPr>
            <w:tcW w:w="1603" w:type="dxa"/>
            <w:vAlign w:val="center"/>
          </w:tcPr>
          <w:p w14:paraId="41EE897E"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1,060.4</w:t>
            </w:r>
          </w:p>
        </w:tc>
        <w:tc>
          <w:tcPr>
            <w:tcW w:w="1312" w:type="dxa"/>
            <w:vAlign w:val="center"/>
          </w:tcPr>
          <w:p w14:paraId="771D766B" w14:textId="77777777" w:rsidR="00EB07AB" w:rsidRPr="004024BD" w:rsidRDefault="00EB07AB" w:rsidP="00FD3D1D">
            <w:pPr>
              <w:tabs>
                <w:tab w:val="left" w:pos="901"/>
              </w:tabs>
              <w:ind w:left="617" w:hanging="617"/>
              <w:jc w:val="right"/>
              <w:rPr>
                <w:rFonts w:ascii="Arial" w:hAnsi="Arial" w:cs="Arial"/>
                <w:sz w:val="20"/>
                <w:szCs w:val="20"/>
                <w:lang w:val="mn-MN"/>
              </w:rPr>
            </w:pPr>
            <w:r w:rsidRPr="004024BD">
              <w:rPr>
                <w:rFonts w:ascii="Arial" w:hAnsi="Arial" w:cs="Arial"/>
                <w:sz w:val="20"/>
                <w:szCs w:val="20"/>
                <w:lang w:val="mn-MN"/>
              </w:rPr>
              <w:t>876.5</w:t>
            </w:r>
          </w:p>
        </w:tc>
      </w:tr>
      <w:tr w:rsidR="00EB07AB" w:rsidRPr="004024BD" w14:paraId="5E00C14F" w14:textId="77777777" w:rsidTr="00FD3D1D">
        <w:trPr>
          <w:trHeight w:val="217"/>
        </w:trPr>
        <w:tc>
          <w:tcPr>
            <w:tcW w:w="4848" w:type="dxa"/>
          </w:tcPr>
          <w:p w14:paraId="14AD302A" w14:textId="77777777" w:rsidR="00EB07AB" w:rsidRPr="004024BD" w:rsidRDefault="00EB07AB" w:rsidP="00FD3D1D">
            <w:pPr>
              <w:rPr>
                <w:rFonts w:ascii="Arial" w:hAnsi="Arial" w:cs="Arial"/>
                <w:sz w:val="20"/>
                <w:szCs w:val="20"/>
                <w:lang w:val="mn-MN"/>
              </w:rPr>
            </w:pPr>
            <w:r w:rsidRPr="004024BD">
              <w:rPr>
                <w:rFonts w:ascii="Arial" w:eastAsia="Times New Roman" w:hAnsi="Arial" w:cs="Arial"/>
                <w:sz w:val="20"/>
                <w:szCs w:val="20"/>
                <w:lang w:val="mn-MN"/>
              </w:rPr>
              <w:t xml:space="preserve">    3.2. Концесс /Барих-Шилжүүлэх/</w:t>
            </w:r>
          </w:p>
        </w:tc>
        <w:tc>
          <w:tcPr>
            <w:tcW w:w="1604" w:type="dxa"/>
            <w:vAlign w:val="center"/>
          </w:tcPr>
          <w:p w14:paraId="531D8AD5"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995.7</w:t>
            </w:r>
          </w:p>
        </w:tc>
        <w:tc>
          <w:tcPr>
            <w:tcW w:w="1603" w:type="dxa"/>
            <w:vAlign w:val="center"/>
          </w:tcPr>
          <w:p w14:paraId="2F63E379"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850.2</w:t>
            </w:r>
          </w:p>
        </w:tc>
        <w:tc>
          <w:tcPr>
            <w:tcW w:w="1312" w:type="dxa"/>
            <w:vAlign w:val="center"/>
          </w:tcPr>
          <w:p w14:paraId="261A677C"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673.9</w:t>
            </w:r>
          </w:p>
        </w:tc>
      </w:tr>
      <w:tr w:rsidR="00EB07AB" w:rsidRPr="004024BD" w14:paraId="7C6CA6D7" w14:textId="77777777" w:rsidTr="00FD3D1D">
        <w:trPr>
          <w:trHeight w:val="217"/>
        </w:trPr>
        <w:tc>
          <w:tcPr>
            <w:tcW w:w="4848" w:type="dxa"/>
            <w:tcBorders>
              <w:bottom w:val="single" w:sz="4" w:space="0" w:color="auto"/>
            </w:tcBorders>
          </w:tcPr>
          <w:p w14:paraId="5E04D58E" w14:textId="77777777" w:rsidR="00EB07AB" w:rsidRPr="004024BD" w:rsidRDefault="00EB07AB" w:rsidP="00FD3D1D">
            <w:pPr>
              <w:rPr>
                <w:rFonts w:ascii="Arial" w:eastAsia="Times New Roman" w:hAnsi="Arial" w:cs="Arial"/>
                <w:b/>
                <w:sz w:val="20"/>
                <w:szCs w:val="20"/>
                <w:lang w:val="mn-MN"/>
              </w:rPr>
            </w:pPr>
            <w:r w:rsidRPr="004024BD">
              <w:rPr>
                <w:rFonts w:ascii="Arial" w:eastAsia="Times New Roman" w:hAnsi="Arial" w:cs="Arial"/>
                <w:b/>
                <w:sz w:val="20"/>
                <w:szCs w:val="20"/>
                <w:lang w:val="mn-MN"/>
              </w:rPr>
              <w:t xml:space="preserve">    </w:t>
            </w:r>
            <w:r w:rsidRPr="004024BD">
              <w:rPr>
                <w:rFonts w:ascii="Arial" w:eastAsia="Times New Roman" w:hAnsi="Arial" w:cs="Arial"/>
                <w:sz w:val="20"/>
                <w:szCs w:val="20"/>
                <w:lang w:val="mn-MN"/>
              </w:rPr>
              <w:t>3.3. Орон нутгийн зээллэг</w:t>
            </w:r>
          </w:p>
        </w:tc>
        <w:tc>
          <w:tcPr>
            <w:tcW w:w="1604" w:type="dxa"/>
            <w:tcBorders>
              <w:bottom w:val="single" w:sz="4" w:space="0" w:color="auto"/>
            </w:tcBorders>
            <w:vAlign w:val="center"/>
          </w:tcPr>
          <w:p w14:paraId="7A818AF7"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w:t>
            </w:r>
          </w:p>
        </w:tc>
        <w:tc>
          <w:tcPr>
            <w:tcW w:w="1603" w:type="dxa"/>
            <w:tcBorders>
              <w:bottom w:val="single" w:sz="4" w:space="0" w:color="auto"/>
            </w:tcBorders>
            <w:vAlign w:val="center"/>
          </w:tcPr>
          <w:p w14:paraId="56BD1286"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w:t>
            </w:r>
          </w:p>
        </w:tc>
        <w:tc>
          <w:tcPr>
            <w:tcW w:w="1312" w:type="dxa"/>
            <w:tcBorders>
              <w:bottom w:val="single" w:sz="4" w:space="0" w:color="auto"/>
            </w:tcBorders>
            <w:vAlign w:val="center"/>
          </w:tcPr>
          <w:p w14:paraId="2E7C94FE"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17.2</w:t>
            </w:r>
          </w:p>
        </w:tc>
      </w:tr>
      <w:tr w:rsidR="00EB07AB" w:rsidRPr="004024BD" w14:paraId="1562B1E5" w14:textId="77777777" w:rsidTr="00FD3D1D">
        <w:trPr>
          <w:trHeight w:val="217"/>
        </w:trPr>
        <w:tc>
          <w:tcPr>
            <w:tcW w:w="4848" w:type="dxa"/>
            <w:tcBorders>
              <w:top w:val="single" w:sz="4" w:space="0" w:color="auto"/>
              <w:bottom w:val="single" w:sz="4" w:space="0" w:color="auto"/>
            </w:tcBorders>
          </w:tcPr>
          <w:p w14:paraId="6F498CC0" w14:textId="77777777" w:rsidR="00EB07AB" w:rsidRPr="004024BD" w:rsidRDefault="00EB07AB" w:rsidP="00FD3D1D">
            <w:pPr>
              <w:rPr>
                <w:rFonts w:ascii="Arial" w:hAnsi="Arial" w:cs="Arial"/>
                <w:b/>
                <w:sz w:val="20"/>
                <w:szCs w:val="20"/>
                <w:lang w:val="mn-MN"/>
              </w:rPr>
            </w:pPr>
            <w:r w:rsidRPr="004024BD">
              <w:rPr>
                <w:rFonts w:ascii="Arial" w:eastAsia="Times New Roman" w:hAnsi="Arial" w:cs="Arial"/>
                <w:b/>
                <w:sz w:val="20"/>
                <w:szCs w:val="20"/>
                <w:lang w:val="mn-MN"/>
              </w:rPr>
              <w:t>ЗАСГИЙН ГАЗРЫН НИЙТ ӨР /1+2+3/</w:t>
            </w:r>
          </w:p>
        </w:tc>
        <w:tc>
          <w:tcPr>
            <w:tcW w:w="1604" w:type="dxa"/>
            <w:tcBorders>
              <w:top w:val="single" w:sz="4" w:space="0" w:color="auto"/>
              <w:bottom w:val="single" w:sz="4" w:space="0" w:color="auto"/>
            </w:tcBorders>
            <w:vAlign w:val="center"/>
          </w:tcPr>
          <w:p w14:paraId="73A98B52" w14:textId="77777777" w:rsidR="00EB07AB" w:rsidRPr="004024BD" w:rsidRDefault="00EB07AB" w:rsidP="00FD3D1D">
            <w:pPr>
              <w:jc w:val="right"/>
              <w:rPr>
                <w:rFonts w:ascii="Arial" w:hAnsi="Arial" w:cs="Arial"/>
                <w:b/>
                <w:sz w:val="20"/>
                <w:szCs w:val="20"/>
                <w:lang w:val="mn-MN"/>
              </w:rPr>
            </w:pPr>
            <w:r w:rsidRPr="004024BD">
              <w:rPr>
                <w:rFonts w:ascii="Arial" w:hAnsi="Arial" w:cs="Arial"/>
                <w:b/>
                <w:sz w:val="20"/>
                <w:szCs w:val="20"/>
                <w:lang w:val="mn-MN"/>
              </w:rPr>
              <w:t>24,199.7</w:t>
            </w:r>
          </w:p>
        </w:tc>
        <w:tc>
          <w:tcPr>
            <w:tcW w:w="1603" w:type="dxa"/>
            <w:tcBorders>
              <w:top w:val="single" w:sz="4" w:space="0" w:color="auto"/>
              <w:bottom w:val="single" w:sz="4" w:space="0" w:color="auto"/>
            </w:tcBorders>
            <w:vAlign w:val="center"/>
          </w:tcPr>
          <w:p w14:paraId="4A52C672" w14:textId="77777777" w:rsidR="00EB07AB" w:rsidRPr="004024BD" w:rsidRDefault="00EB07AB" w:rsidP="00FD3D1D">
            <w:pPr>
              <w:jc w:val="right"/>
              <w:rPr>
                <w:rFonts w:ascii="Arial" w:hAnsi="Arial" w:cs="Arial"/>
                <w:b/>
                <w:sz w:val="20"/>
                <w:szCs w:val="20"/>
                <w:lang w:val="mn-MN"/>
              </w:rPr>
            </w:pPr>
            <w:r w:rsidRPr="004024BD">
              <w:rPr>
                <w:rFonts w:ascii="Arial" w:hAnsi="Arial" w:cs="Arial"/>
                <w:b/>
                <w:sz w:val="20"/>
                <w:szCs w:val="20"/>
                <w:lang w:val="mn-MN"/>
              </w:rPr>
              <w:t>27,898.6</w:t>
            </w:r>
          </w:p>
        </w:tc>
        <w:tc>
          <w:tcPr>
            <w:tcW w:w="1312" w:type="dxa"/>
            <w:tcBorders>
              <w:top w:val="single" w:sz="4" w:space="0" w:color="auto"/>
              <w:bottom w:val="single" w:sz="4" w:space="0" w:color="auto"/>
            </w:tcBorders>
            <w:vAlign w:val="center"/>
          </w:tcPr>
          <w:p w14:paraId="6493CE6A" w14:textId="77777777" w:rsidR="00EB07AB" w:rsidRPr="004024BD" w:rsidRDefault="00EB07AB" w:rsidP="00FD3D1D">
            <w:pPr>
              <w:jc w:val="right"/>
              <w:rPr>
                <w:rFonts w:ascii="Arial" w:hAnsi="Arial" w:cs="Arial"/>
                <w:b/>
                <w:sz w:val="20"/>
                <w:szCs w:val="20"/>
                <w:lang w:val="mn-MN"/>
              </w:rPr>
            </w:pPr>
            <w:r w:rsidRPr="004024BD">
              <w:rPr>
                <w:rFonts w:ascii="Arial" w:hAnsi="Arial" w:cs="Arial"/>
                <w:b/>
                <w:sz w:val="20"/>
                <w:szCs w:val="20"/>
                <w:lang w:val="mn-MN"/>
              </w:rPr>
              <w:t>26,918.1</w:t>
            </w:r>
          </w:p>
        </w:tc>
      </w:tr>
      <w:tr w:rsidR="00EB07AB" w:rsidRPr="004024BD" w14:paraId="2EC0D503" w14:textId="77777777" w:rsidTr="00FD3D1D">
        <w:trPr>
          <w:trHeight w:val="217"/>
        </w:trPr>
        <w:tc>
          <w:tcPr>
            <w:tcW w:w="4848" w:type="dxa"/>
            <w:tcBorders>
              <w:bottom w:val="single" w:sz="4" w:space="0" w:color="auto"/>
            </w:tcBorders>
          </w:tcPr>
          <w:p w14:paraId="064F5B90" w14:textId="77777777" w:rsidR="00EB07AB" w:rsidRPr="004024BD" w:rsidDel="006A7BCB" w:rsidRDefault="00EB07AB" w:rsidP="00FD3D1D">
            <w:pPr>
              <w:rPr>
                <w:rFonts w:ascii="Arial" w:eastAsia="Times New Roman" w:hAnsi="Arial" w:cs="Arial"/>
                <w:i/>
                <w:color w:val="3B3838" w:themeColor="background2" w:themeShade="40"/>
                <w:sz w:val="20"/>
                <w:szCs w:val="20"/>
                <w:lang w:val="mn-MN"/>
              </w:rPr>
            </w:pPr>
            <w:r w:rsidRPr="004024BD">
              <w:rPr>
                <w:rFonts w:ascii="Arial" w:eastAsia="Times New Roman" w:hAnsi="Arial" w:cs="Arial"/>
                <w:i/>
                <w:color w:val="3B3838" w:themeColor="background2" w:themeShade="40"/>
                <w:sz w:val="20"/>
                <w:szCs w:val="20"/>
                <w:lang w:val="mn-MN"/>
              </w:rPr>
              <w:t>Төсвийн тогтвортой байдлын тухай хуулиар тогтоосон өрийн хязгаар</w:t>
            </w:r>
          </w:p>
        </w:tc>
        <w:tc>
          <w:tcPr>
            <w:tcW w:w="1604" w:type="dxa"/>
            <w:tcBorders>
              <w:bottom w:val="single" w:sz="4" w:space="0" w:color="auto"/>
            </w:tcBorders>
            <w:shd w:val="clear" w:color="auto" w:fill="auto"/>
            <w:vAlign w:val="center"/>
          </w:tcPr>
          <w:p w14:paraId="2D784DB9" w14:textId="77777777" w:rsidR="00EB07AB" w:rsidRPr="004024BD" w:rsidRDefault="00EB07AB" w:rsidP="00FD3D1D">
            <w:pPr>
              <w:jc w:val="right"/>
              <w:rPr>
                <w:rFonts w:ascii="Arial" w:hAnsi="Arial" w:cs="Arial"/>
                <w:b/>
                <w:color w:val="000000" w:themeColor="text1"/>
                <w:sz w:val="20"/>
                <w:szCs w:val="20"/>
                <w:lang w:val="mn-MN"/>
              </w:rPr>
            </w:pPr>
            <w:r w:rsidRPr="004024BD">
              <w:rPr>
                <w:rFonts w:ascii="Arial" w:hAnsi="Arial" w:cs="Arial"/>
                <w:b/>
                <w:color w:val="000000" w:themeColor="text1"/>
                <w:sz w:val="20"/>
                <w:szCs w:val="20"/>
                <w:lang w:val="mn-MN"/>
              </w:rPr>
              <w:t>75%</w:t>
            </w:r>
          </w:p>
        </w:tc>
        <w:tc>
          <w:tcPr>
            <w:tcW w:w="1603" w:type="dxa"/>
            <w:tcBorders>
              <w:bottom w:val="single" w:sz="4" w:space="0" w:color="auto"/>
            </w:tcBorders>
            <w:shd w:val="clear" w:color="auto" w:fill="auto"/>
            <w:vAlign w:val="center"/>
          </w:tcPr>
          <w:p w14:paraId="7B4A84B3" w14:textId="77777777" w:rsidR="00EB07AB" w:rsidRPr="004024BD" w:rsidRDefault="00EB07AB" w:rsidP="00FD3D1D">
            <w:pPr>
              <w:jc w:val="right"/>
              <w:rPr>
                <w:rFonts w:ascii="Arial" w:hAnsi="Arial" w:cs="Arial"/>
                <w:b/>
                <w:color w:val="000000" w:themeColor="text1"/>
                <w:sz w:val="20"/>
                <w:szCs w:val="20"/>
                <w:lang w:val="mn-MN"/>
              </w:rPr>
            </w:pPr>
            <w:r w:rsidRPr="004024BD">
              <w:rPr>
                <w:rFonts w:ascii="Arial" w:hAnsi="Arial" w:cs="Arial"/>
                <w:b/>
                <w:color w:val="000000" w:themeColor="text1"/>
                <w:sz w:val="20"/>
                <w:szCs w:val="20"/>
                <w:lang w:val="mn-MN"/>
              </w:rPr>
              <w:t>70%</w:t>
            </w:r>
          </w:p>
        </w:tc>
        <w:tc>
          <w:tcPr>
            <w:tcW w:w="1312" w:type="dxa"/>
            <w:tcBorders>
              <w:bottom w:val="single" w:sz="4" w:space="0" w:color="auto"/>
            </w:tcBorders>
            <w:shd w:val="clear" w:color="auto" w:fill="auto"/>
            <w:vAlign w:val="center"/>
          </w:tcPr>
          <w:p w14:paraId="74D1C6B4" w14:textId="77777777" w:rsidR="00EB07AB" w:rsidRPr="004024BD" w:rsidRDefault="00EB07AB" w:rsidP="00FD3D1D">
            <w:pPr>
              <w:jc w:val="right"/>
              <w:rPr>
                <w:rFonts w:ascii="Arial" w:hAnsi="Arial" w:cs="Arial"/>
                <w:b/>
                <w:color w:val="000000" w:themeColor="text1"/>
                <w:sz w:val="20"/>
                <w:szCs w:val="20"/>
                <w:lang w:val="mn-MN"/>
              </w:rPr>
            </w:pPr>
            <w:r w:rsidRPr="004024BD">
              <w:rPr>
                <w:rFonts w:ascii="Arial" w:hAnsi="Arial" w:cs="Arial"/>
                <w:b/>
                <w:color w:val="000000" w:themeColor="text1"/>
                <w:sz w:val="20"/>
                <w:szCs w:val="20"/>
                <w:lang w:val="mn-MN"/>
              </w:rPr>
              <w:t>70%</w:t>
            </w:r>
          </w:p>
        </w:tc>
      </w:tr>
      <w:tr w:rsidR="00EB07AB" w:rsidRPr="004024BD" w14:paraId="34E6034C" w14:textId="77777777" w:rsidTr="00FD3D1D">
        <w:trPr>
          <w:trHeight w:val="217"/>
        </w:trPr>
        <w:tc>
          <w:tcPr>
            <w:tcW w:w="4848" w:type="dxa"/>
            <w:tcBorders>
              <w:top w:val="single" w:sz="4" w:space="0" w:color="auto"/>
              <w:bottom w:val="single" w:sz="4" w:space="0" w:color="auto"/>
            </w:tcBorders>
          </w:tcPr>
          <w:p w14:paraId="36B8A40A" w14:textId="77777777" w:rsidR="00EB07AB" w:rsidRPr="004024BD" w:rsidDel="006A7BCB" w:rsidRDefault="00EB07AB" w:rsidP="00FD3D1D">
            <w:pPr>
              <w:rPr>
                <w:rFonts w:ascii="Arial" w:eastAsia="Times New Roman" w:hAnsi="Arial" w:cs="Arial"/>
                <w:i/>
                <w:color w:val="3B3838" w:themeColor="background2" w:themeShade="40"/>
                <w:sz w:val="20"/>
                <w:szCs w:val="20"/>
                <w:lang w:val="mn-MN"/>
              </w:rPr>
            </w:pPr>
            <w:r w:rsidRPr="004024BD">
              <w:rPr>
                <w:rFonts w:ascii="Arial" w:hAnsi="Arial" w:cs="Arial"/>
                <w:i/>
                <w:color w:val="000000"/>
                <w:sz w:val="20"/>
                <w:szCs w:val="20"/>
                <w:lang w:val="mn-MN"/>
              </w:rPr>
              <w:t>Өнөөгийн үнэ цэнээр илэрхийлэгдсэн Засгийн газрын өрийн үлдэгдлийн ДНБ-д эзлэх хувь</w:t>
            </w:r>
          </w:p>
        </w:tc>
        <w:tc>
          <w:tcPr>
            <w:tcW w:w="1604" w:type="dxa"/>
            <w:tcBorders>
              <w:top w:val="single" w:sz="4" w:space="0" w:color="auto"/>
              <w:bottom w:val="single" w:sz="4" w:space="0" w:color="auto"/>
            </w:tcBorders>
            <w:shd w:val="clear" w:color="auto" w:fill="auto"/>
            <w:vAlign w:val="center"/>
          </w:tcPr>
          <w:p w14:paraId="6479E634" w14:textId="77777777" w:rsidR="00EB07AB" w:rsidRPr="004024BD" w:rsidRDefault="00EB07AB" w:rsidP="00FD3D1D">
            <w:pPr>
              <w:jc w:val="right"/>
              <w:rPr>
                <w:rFonts w:ascii="Arial" w:hAnsi="Arial" w:cs="Arial"/>
                <w:b/>
                <w:color w:val="000000" w:themeColor="text1"/>
                <w:sz w:val="20"/>
                <w:szCs w:val="20"/>
                <w:lang w:val="mn-MN"/>
              </w:rPr>
            </w:pPr>
            <w:r w:rsidRPr="004024BD">
              <w:rPr>
                <w:rFonts w:ascii="Arial" w:hAnsi="Arial" w:cs="Arial"/>
                <w:b/>
                <w:color w:val="000000" w:themeColor="text1"/>
                <w:sz w:val="20"/>
                <w:szCs w:val="20"/>
                <w:lang w:val="mn-MN"/>
              </w:rPr>
              <w:t>55.1%</w:t>
            </w:r>
          </w:p>
        </w:tc>
        <w:tc>
          <w:tcPr>
            <w:tcW w:w="1603" w:type="dxa"/>
            <w:tcBorders>
              <w:top w:val="single" w:sz="4" w:space="0" w:color="auto"/>
              <w:bottom w:val="single" w:sz="4" w:space="0" w:color="auto"/>
            </w:tcBorders>
            <w:shd w:val="clear" w:color="auto" w:fill="auto"/>
            <w:vAlign w:val="center"/>
          </w:tcPr>
          <w:p w14:paraId="3381392D" w14:textId="77777777" w:rsidR="00EB07AB" w:rsidRPr="004024BD" w:rsidRDefault="00EB07AB" w:rsidP="00FD3D1D">
            <w:pPr>
              <w:jc w:val="right"/>
              <w:rPr>
                <w:rFonts w:ascii="Arial" w:hAnsi="Arial" w:cs="Arial"/>
                <w:b/>
                <w:color w:val="000000" w:themeColor="text1"/>
                <w:sz w:val="20"/>
                <w:szCs w:val="20"/>
                <w:lang w:val="mn-MN"/>
              </w:rPr>
            </w:pPr>
            <w:r w:rsidRPr="004024BD">
              <w:rPr>
                <w:rFonts w:ascii="Arial" w:hAnsi="Arial" w:cs="Arial"/>
                <w:b/>
                <w:color w:val="000000" w:themeColor="text1"/>
                <w:sz w:val="20"/>
                <w:szCs w:val="20"/>
                <w:lang w:val="mn-MN"/>
              </w:rPr>
              <w:t>62.3%</w:t>
            </w:r>
          </w:p>
        </w:tc>
        <w:tc>
          <w:tcPr>
            <w:tcW w:w="1312" w:type="dxa"/>
            <w:tcBorders>
              <w:top w:val="single" w:sz="4" w:space="0" w:color="auto"/>
              <w:bottom w:val="single" w:sz="4" w:space="0" w:color="auto"/>
            </w:tcBorders>
            <w:shd w:val="clear" w:color="auto" w:fill="auto"/>
            <w:vAlign w:val="center"/>
          </w:tcPr>
          <w:p w14:paraId="7F7B367B" w14:textId="77777777" w:rsidR="00EB07AB" w:rsidRPr="004024BD" w:rsidRDefault="00EB07AB" w:rsidP="00FD3D1D">
            <w:pPr>
              <w:jc w:val="right"/>
              <w:rPr>
                <w:rFonts w:ascii="Arial" w:hAnsi="Arial" w:cs="Arial"/>
                <w:b/>
                <w:color w:val="000000" w:themeColor="text1"/>
                <w:sz w:val="20"/>
                <w:szCs w:val="20"/>
                <w:lang w:val="mn-MN"/>
              </w:rPr>
            </w:pPr>
            <w:r w:rsidRPr="004024BD">
              <w:rPr>
                <w:rFonts w:ascii="Arial" w:hAnsi="Arial" w:cs="Arial"/>
                <w:b/>
                <w:color w:val="000000" w:themeColor="text1"/>
                <w:sz w:val="20"/>
                <w:szCs w:val="20"/>
                <w:lang w:val="mn-MN"/>
              </w:rPr>
              <w:t>50.7%</w:t>
            </w:r>
          </w:p>
        </w:tc>
      </w:tr>
    </w:tbl>
    <w:p w14:paraId="771942C3" w14:textId="77777777" w:rsidR="00EB07AB" w:rsidRPr="004024BD" w:rsidRDefault="00EB07AB" w:rsidP="00EB07AB">
      <w:pPr>
        <w:spacing w:after="0" w:line="240" w:lineRule="auto"/>
        <w:ind w:right="6"/>
        <w:jc w:val="center"/>
        <w:rPr>
          <w:rFonts w:ascii="Arial" w:hAnsi="Arial" w:cs="Arial"/>
          <w:i/>
          <w:lang w:val="mn-MN"/>
        </w:rPr>
      </w:pPr>
      <w:r w:rsidRPr="004024BD">
        <w:rPr>
          <w:rFonts w:ascii="Arial" w:hAnsi="Arial" w:cs="Arial"/>
          <w:i/>
          <w:lang w:val="mn-MN"/>
        </w:rPr>
        <w:t xml:space="preserve">                                                                                                                    Эх сурвалж: Сангийн яам</w:t>
      </w:r>
    </w:p>
    <w:p w14:paraId="1F232FF9" w14:textId="77777777" w:rsidR="00EB07AB" w:rsidRPr="004024BD" w:rsidRDefault="00EB07AB" w:rsidP="00EB07AB">
      <w:pPr>
        <w:spacing w:after="0" w:line="240" w:lineRule="auto"/>
        <w:ind w:right="6"/>
        <w:jc w:val="both"/>
        <w:rPr>
          <w:rFonts w:ascii="Arial" w:hAnsi="Arial" w:cs="Arial"/>
          <w:lang w:val="mn-MN"/>
        </w:rPr>
      </w:pPr>
      <w:r w:rsidRPr="004024BD">
        <w:rPr>
          <w:rFonts w:ascii="Arial" w:hAnsi="Arial" w:cs="Arial"/>
          <w:lang w:val="mn-MN"/>
        </w:rPr>
        <w:tab/>
      </w:r>
    </w:p>
    <w:p w14:paraId="23F4241F" w14:textId="77777777" w:rsidR="00EB07AB" w:rsidRPr="004024BD" w:rsidRDefault="00EB07AB" w:rsidP="00EB07AB">
      <w:pPr>
        <w:spacing w:after="0" w:line="240" w:lineRule="auto"/>
        <w:ind w:right="6" w:firstLine="720"/>
        <w:jc w:val="both"/>
        <w:rPr>
          <w:rFonts w:ascii="Arial" w:hAnsi="Arial" w:cs="Arial"/>
          <w:sz w:val="24"/>
          <w:szCs w:val="24"/>
          <w:lang w:val="mn-MN"/>
        </w:rPr>
      </w:pPr>
      <w:r w:rsidRPr="004024BD">
        <w:rPr>
          <w:rFonts w:ascii="Arial" w:hAnsi="Arial" w:cs="Arial"/>
          <w:sz w:val="24"/>
          <w:szCs w:val="24"/>
          <w:lang w:val="mn-MN"/>
        </w:rPr>
        <w:t>Төсвийн тогтвортой байдлын тухай хуульд заасан тусгай шаардлагын үзүүлэлтийг Засгийн газар 2019-2021 онд бүрэн хангаж ажилласан бөгөөд Ковид-19 цар тахлын нөхцөл байдалд эдийн засгийн өсөлтийг тогтвортой хадгалан арилжааны нөхцөлтэй гадаад, дотоод зээллэгийн үлдэгдэл, Засгийн газрын өрийн баталгааны үлдэгдлийг бууруулан Засгийн газрын гадаад үнэт цаасны өрийн зохицуулалтын төлөвлөгөөт арга хэмжээг хэрэгжүүлж ажилласан болно.</w:t>
      </w:r>
    </w:p>
    <w:p w14:paraId="681A89BC" w14:textId="77777777" w:rsidR="00EB07AB" w:rsidRPr="004024BD" w:rsidRDefault="00EB07AB" w:rsidP="00EB07AB">
      <w:pPr>
        <w:spacing w:after="0" w:line="240" w:lineRule="auto"/>
        <w:ind w:right="4"/>
        <w:jc w:val="both"/>
        <w:rPr>
          <w:rFonts w:ascii="Arial" w:hAnsi="Arial" w:cs="Arial"/>
          <w:sz w:val="24"/>
          <w:szCs w:val="24"/>
          <w:lang w:val="mn-MN"/>
        </w:rPr>
      </w:pPr>
    </w:p>
    <w:p w14:paraId="5D22CE48" w14:textId="77777777" w:rsidR="00EB07AB" w:rsidRPr="004024BD" w:rsidRDefault="00EB07AB" w:rsidP="00EB07AB">
      <w:pPr>
        <w:pStyle w:val="Heading2"/>
        <w:ind w:left="720"/>
        <w:rPr>
          <w:szCs w:val="24"/>
        </w:rPr>
      </w:pPr>
      <w:r w:rsidRPr="004024BD">
        <w:rPr>
          <w:szCs w:val="24"/>
        </w:rPr>
        <w:t>1.2.1.Засгийн газрын дотоод үнэт цаас</w:t>
      </w:r>
    </w:p>
    <w:p w14:paraId="1B5089F5" w14:textId="77777777" w:rsidR="00EB07AB" w:rsidRPr="004024BD" w:rsidRDefault="00EB07AB" w:rsidP="00EB07AB">
      <w:pPr>
        <w:spacing w:after="0" w:line="240" w:lineRule="auto"/>
        <w:ind w:firstLine="720"/>
        <w:jc w:val="both"/>
        <w:rPr>
          <w:rFonts w:ascii="Arial" w:hAnsi="Arial" w:cs="Arial"/>
          <w:color w:val="000000"/>
          <w:sz w:val="24"/>
          <w:szCs w:val="24"/>
          <w:shd w:val="clear" w:color="auto" w:fill="FFFFFF"/>
          <w:lang w:val="mn-MN"/>
        </w:rPr>
      </w:pPr>
    </w:p>
    <w:p w14:paraId="7BC941C2" w14:textId="77777777" w:rsidR="00EB07AB" w:rsidRPr="004024BD" w:rsidRDefault="00EB07AB" w:rsidP="00EB07AB">
      <w:pPr>
        <w:spacing w:after="0" w:line="240" w:lineRule="auto"/>
        <w:ind w:firstLine="720"/>
        <w:jc w:val="both"/>
        <w:rPr>
          <w:rFonts w:ascii="Arial" w:hAnsi="Arial" w:cs="Arial"/>
          <w:color w:val="000000"/>
          <w:sz w:val="24"/>
          <w:szCs w:val="24"/>
          <w:shd w:val="clear" w:color="auto" w:fill="FFFFFF"/>
          <w:lang w:val="mn-MN"/>
        </w:rPr>
      </w:pPr>
      <w:r w:rsidRPr="004024BD">
        <w:rPr>
          <w:rFonts w:ascii="Arial" w:hAnsi="Arial" w:cs="Arial"/>
          <w:color w:val="000000"/>
          <w:sz w:val="24"/>
          <w:szCs w:val="24"/>
          <w:shd w:val="clear" w:color="auto" w:fill="FFFFFF"/>
          <w:lang w:val="mn-MN"/>
        </w:rPr>
        <w:t xml:space="preserve">Засгийн газрын дотоод үнэт цаасны үлдэгдэл 2021 оны жилийн эцсийн урьдчилсан гүйцэтгэлээр 657.3 </w:t>
      </w:r>
      <w:r w:rsidRPr="004024BD">
        <w:rPr>
          <w:rFonts w:ascii="Arial" w:hAnsi="Arial" w:cs="Arial"/>
          <w:color w:val="000000" w:themeColor="text1"/>
          <w:sz w:val="24"/>
          <w:szCs w:val="24"/>
          <w:lang w:val="mn-MN"/>
        </w:rPr>
        <w:t xml:space="preserve">тэрбум </w:t>
      </w:r>
      <w:r w:rsidRPr="004024BD">
        <w:rPr>
          <w:rFonts w:ascii="Arial" w:hAnsi="Arial" w:cs="Arial"/>
          <w:color w:val="000000"/>
          <w:sz w:val="24"/>
          <w:szCs w:val="24"/>
          <w:shd w:val="clear" w:color="auto" w:fill="FFFFFF"/>
          <w:lang w:val="mn-MN"/>
        </w:rPr>
        <w:t>төгрөгт хүрч, 2020 оны мөн үеэс 479.1 тэрбум төгрөгөөр буураад байна. Засгийн газрын дотоод үнэт цаас буурсан нь 2017 оны 10 дугаар сараас хойш дотоод зах зээлд Засгийн газрын үнэт цаас арилжаалаагүй, хуваарийн дагуу өрийн үйлчилгээний төлбөрийг гүйцэтгэж байгаатай холбоотой</w:t>
      </w:r>
      <w:r w:rsidRPr="004024BD" w:rsidDel="005F1306">
        <w:rPr>
          <w:rFonts w:ascii="Arial" w:hAnsi="Arial" w:cs="Arial"/>
          <w:color w:val="000000"/>
          <w:sz w:val="24"/>
          <w:szCs w:val="24"/>
          <w:shd w:val="clear" w:color="auto" w:fill="FFFFFF"/>
          <w:lang w:val="mn-MN"/>
        </w:rPr>
        <w:t xml:space="preserve"> </w:t>
      </w:r>
      <w:r w:rsidRPr="004024BD">
        <w:rPr>
          <w:rFonts w:ascii="Arial" w:hAnsi="Arial" w:cs="Arial"/>
          <w:color w:val="000000"/>
          <w:sz w:val="24"/>
          <w:szCs w:val="24"/>
          <w:shd w:val="clear" w:color="auto" w:fill="FFFFFF"/>
          <w:lang w:val="mn-MN"/>
        </w:rPr>
        <w:t>юм.</w:t>
      </w:r>
    </w:p>
    <w:p w14:paraId="72ECB3CC" w14:textId="77777777" w:rsidR="00EB07AB" w:rsidRPr="004024BD" w:rsidRDefault="00EB07AB" w:rsidP="00EB07AB">
      <w:pPr>
        <w:spacing w:after="0" w:line="240" w:lineRule="auto"/>
        <w:ind w:firstLine="720"/>
        <w:jc w:val="both"/>
        <w:rPr>
          <w:rFonts w:ascii="Arial" w:hAnsi="Arial" w:cs="Arial"/>
          <w:color w:val="000000"/>
          <w:sz w:val="24"/>
          <w:szCs w:val="24"/>
          <w:shd w:val="clear" w:color="auto" w:fill="FFFFFF"/>
          <w:lang w:val="mn-MN"/>
        </w:rPr>
      </w:pPr>
    </w:p>
    <w:p w14:paraId="7DBA90EB" w14:textId="77777777" w:rsidR="00EB07AB" w:rsidRPr="004024BD" w:rsidRDefault="00EB07AB" w:rsidP="00EB07AB">
      <w:pPr>
        <w:spacing w:after="0" w:line="240" w:lineRule="auto"/>
        <w:ind w:firstLine="720"/>
        <w:jc w:val="both"/>
        <w:rPr>
          <w:rFonts w:ascii="Arial" w:hAnsi="Arial" w:cs="Arial"/>
          <w:color w:val="000000" w:themeColor="text1"/>
          <w:sz w:val="24"/>
          <w:szCs w:val="24"/>
          <w:lang w:val="mn-MN"/>
        </w:rPr>
      </w:pPr>
      <w:r w:rsidRPr="004024BD">
        <w:rPr>
          <w:rFonts w:ascii="Arial" w:hAnsi="Arial" w:cs="Arial"/>
          <w:color w:val="000000" w:themeColor="text1"/>
          <w:sz w:val="24"/>
          <w:szCs w:val="24"/>
          <w:lang w:val="mn-MN"/>
        </w:rPr>
        <w:t>Засгийн газрын дотоод үнэт цаасны үлдэгдлийн 511.6 тэрбум төгрөг /77.8%/-ийг төсвийн алдагдлыг санхүүжүүлэх зорилгоор 2018 оноос өмнө арилжаалсан үнэт цаас, 110.7 тэрбум төгрөг /16.8%/-ийг “Сайн хувьцаа” хөтөлбөрийг санхүүжүүлэх зорилгоор арилжаалсан үнэт цаас, 35.0 тэрбум төгрөг /5.4%/-ийг Хүний хөгжил сангийн алдагдлыг санхүүжүүлэх зорилгоор арилжаалсан үнэт цаас тус тус эзэлж байна.</w:t>
      </w:r>
    </w:p>
    <w:p w14:paraId="7956724A" w14:textId="77777777" w:rsidR="00EB07AB" w:rsidRPr="004024BD" w:rsidRDefault="00EB07AB" w:rsidP="00EB07AB">
      <w:pPr>
        <w:spacing w:after="0" w:line="240" w:lineRule="auto"/>
        <w:jc w:val="both"/>
        <w:rPr>
          <w:rFonts w:ascii="Arial" w:hAnsi="Arial" w:cs="Arial"/>
          <w:color w:val="000000"/>
          <w:sz w:val="24"/>
          <w:szCs w:val="24"/>
          <w:shd w:val="clear" w:color="auto" w:fill="FFFFFF"/>
          <w:lang w:val="mn-MN"/>
        </w:rPr>
      </w:pPr>
    </w:p>
    <w:p w14:paraId="046B88E2" w14:textId="77777777" w:rsidR="00EB07AB" w:rsidRPr="004024BD" w:rsidRDefault="00EB07AB" w:rsidP="00EB07AB">
      <w:pPr>
        <w:spacing w:after="0" w:line="240" w:lineRule="auto"/>
        <w:ind w:firstLine="720"/>
        <w:jc w:val="both"/>
        <w:rPr>
          <w:rFonts w:ascii="Arial" w:hAnsi="Arial" w:cs="Arial"/>
          <w:i/>
          <w:color w:val="000000"/>
          <w:shd w:val="clear" w:color="auto" w:fill="FFFFFF"/>
          <w:lang w:val="mn-MN"/>
        </w:rPr>
      </w:pPr>
      <w:r w:rsidRPr="004024BD">
        <w:rPr>
          <w:rFonts w:ascii="Arial" w:hAnsi="Arial" w:cs="Arial"/>
          <w:i/>
          <w:color w:val="000000"/>
          <w:shd w:val="clear" w:color="auto" w:fill="FFFFFF"/>
          <w:lang w:val="mn-MN"/>
        </w:rPr>
        <w:lastRenderedPageBreak/>
        <w:t>График №2: Засгийн газрын дотоод үнэт цаас, 2016-2021 он</w:t>
      </w:r>
      <w:r w:rsidRPr="004024BD">
        <w:rPr>
          <w:rFonts w:ascii="Arial" w:hAnsi="Arial" w:cs="Arial"/>
          <w:i/>
          <w:color w:val="000000"/>
          <w:shd w:val="clear" w:color="auto" w:fill="FFFFFF"/>
          <w:lang w:val="mn-MN"/>
        </w:rPr>
        <w:tab/>
        <w:t xml:space="preserve">  </w:t>
      </w:r>
    </w:p>
    <w:p w14:paraId="2C6EED4A" w14:textId="77777777" w:rsidR="00EB07AB" w:rsidRPr="004024BD" w:rsidRDefault="00EB07AB" w:rsidP="00EB07AB">
      <w:pPr>
        <w:spacing w:after="0"/>
        <w:jc w:val="both"/>
        <w:rPr>
          <w:rFonts w:ascii="Arial" w:hAnsi="Arial" w:cs="Arial"/>
          <w:i/>
          <w:color w:val="000000"/>
          <w:shd w:val="clear" w:color="auto" w:fill="FFFFFF"/>
          <w:lang w:val="mn-MN"/>
        </w:rPr>
      </w:pPr>
      <w:r w:rsidRPr="004024BD">
        <w:rPr>
          <w:rFonts w:ascii="Arial" w:hAnsi="Arial" w:cs="Arial"/>
          <w:b/>
          <w:i/>
          <w:noProof/>
          <w:lang w:val="mn-MN"/>
        </w:rPr>
        <w:drawing>
          <wp:anchor distT="0" distB="0" distL="114300" distR="114300" simplePos="0" relativeHeight="251667456" behindDoc="0" locked="0" layoutInCell="1" allowOverlap="1" wp14:anchorId="37ACA233" wp14:editId="74D73D04">
            <wp:simplePos x="0" y="0"/>
            <wp:positionH relativeFrom="margin">
              <wp:posOffset>203395</wp:posOffset>
            </wp:positionH>
            <wp:positionV relativeFrom="paragraph">
              <wp:posOffset>182733</wp:posOffset>
            </wp:positionV>
            <wp:extent cx="5843905" cy="1987550"/>
            <wp:effectExtent l="0" t="0" r="10795" b="63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4024BD">
        <w:rPr>
          <w:rFonts w:ascii="Arial" w:hAnsi="Arial" w:cs="Arial"/>
          <w:i/>
          <w:color w:val="000000"/>
          <w:shd w:val="clear" w:color="auto" w:fill="FFFFFF"/>
          <w:lang w:val="mn-MN"/>
        </w:rPr>
        <w:t xml:space="preserve">        </w:t>
      </w:r>
      <w:r w:rsidRPr="004024BD">
        <w:rPr>
          <w:rFonts w:ascii="Arial" w:hAnsi="Arial" w:cs="Arial"/>
          <w:i/>
          <w:color w:val="000000"/>
          <w:shd w:val="clear" w:color="auto" w:fill="FFFFFF"/>
          <w:lang w:val="mn-MN"/>
        </w:rPr>
        <w:tab/>
      </w:r>
      <w:r w:rsidRPr="004024BD">
        <w:rPr>
          <w:rFonts w:ascii="Arial" w:hAnsi="Arial" w:cs="Arial"/>
          <w:i/>
          <w:color w:val="000000"/>
          <w:shd w:val="clear" w:color="auto" w:fill="FFFFFF"/>
          <w:lang w:val="mn-MN"/>
        </w:rPr>
        <w:tab/>
      </w:r>
      <w:r w:rsidRPr="004024BD">
        <w:rPr>
          <w:rFonts w:ascii="Arial" w:hAnsi="Arial" w:cs="Arial"/>
          <w:i/>
          <w:color w:val="000000"/>
          <w:shd w:val="clear" w:color="auto" w:fill="FFFFFF"/>
          <w:lang w:val="mn-MN"/>
        </w:rPr>
        <w:tab/>
      </w:r>
      <w:r w:rsidRPr="004024BD">
        <w:rPr>
          <w:rFonts w:ascii="Arial" w:hAnsi="Arial" w:cs="Arial"/>
          <w:i/>
          <w:color w:val="000000"/>
          <w:shd w:val="clear" w:color="auto" w:fill="FFFFFF"/>
          <w:lang w:val="mn-MN"/>
        </w:rPr>
        <w:tab/>
      </w:r>
      <w:r w:rsidRPr="004024BD">
        <w:rPr>
          <w:rFonts w:ascii="Arial" w:hAnsi="Arial" w:cs="Arial"/>
          <w:i/>
          <w:color w:val="000000"/>
          <w:shd w:val="clear" w:color="auto" w:fill="FFFFFF"/>
          <w:lang w:val="mn-MN"/>
        </w:rPr>
        <w:tab/>
      </w:r>
      <w:r w:rsidRPr="004024BD">
        <w:rPr>
          <w:rFonts w:ascii="Arial" w:hAnsi="Arial" w:cs="Arial"/>
          <w:i/>
          <w:color w:val="000000"/>
          <w:shd w:val="clear" w:color="auto" w:fill="FFFFFF"/>
          <w:lang w:val="mn-MN"/>
        </w:rPr>
        <w:tab/>
      </w:r>
      <w:r w:rsidRPr="004024BD">
        <w:rPr>
          <w:rFonts w:ascii="Arial" w:hAnsi="Arial" w:cs="Arial"/>
          <w:i/>
          <w:color w:val="000000"/>
          <w:shd w:val="clear" w:color="auto" w:fill="FFFFFF"/>
          <w:lang w:val="mn-MN"/>
        </w:rPr>
        <w:tab/>
      </w:r>
      <w:r w:rsidRPr="004024BD">
        <w:rPr>
          <w:rFonts w:ascii="Arial" w:hAnsi="Arial" w:cs="Arial"/>
          <w:i/>
          <w:color w:val="000000"/>
          <w:shd w:val="clear" w:color="auto" w:fill="FFFFFF"/>
          <w:lang w:val="mn-MN"/>
        </w:rPr>
        <w:tab/>
      </w:r>
      <w:r w:rsidRPr="004024BD">
        <w:rPr>
          <w:rFonts w:ascii="Arial" w:hAnsi="Arial" w:cs="Arial"/>
          <w:i/>
          <w:color w:val="000000"/>
          <w:shd w:val="clear" w:color="auto" w:fill="FFFFFF"/>
          <w:lang w:val="mn-MN"/>
        </w:rPr>
        <w:tab/>
      </w:r>
      <w:r w:rsidRPr="004024BD">
        <w:rPr>
          <w:rFonts w:ascii="Arial" w:hAnsi="Arial" w:cs="Arial"/>
          <w:i/>
          <w:color w:val="000000"/>
          <w:shd w:val="clear" w:color="auto" w:fill="FFFFFF"/>
          <w:lang w:val="mn-MN"/>
        </w:rPr>
        <w:tab/>
        <w:t xml:space="preserve">         /тэрбум төгрөг/</w:t>
      </w:r>
    </w:p>
    <w:p w14:paraId="369209A6" w14:textId="77777777" w:rsidR="00EB07AB" w:rsidRPr="004024BD" w:rsidRDefault="00EB07AB" w:rsidP="00EB07AB">
      <w:pPr>
        <w:spacing w:after="0" w:line="240" w:lineRule="auto"/>
        <w:ind w:firstLine="720"/>
        <w:jc w:val="both"/>
        <w:rPr>
          <w:rFonts w:ascii="Arial" w:hAnsi="Arial" w:cs="Arial"/>
          <w:b/>
          <w:lang w:val="mn-MN"/>
        </w:rPr>
      </w:pPr>
      <w:r w:rsidRPr="004024BD">
        <w:rPr>
          <w:rFonts w:ascii="Arial" w:hAnsi="Arial" w:cs="Arial"/>
          <w:i/>
          <w:color w:val="000000"/>
          <w:shd w:val="clear" w:color="auto" w:fill="FFFFFF"/>
          <w:lang w:val="mn-MN"/>
        </w:rPr>
        <w:tab/>
      </w:r>
      <w:r w:rsidRPr="004024BD">
        <w:rPr>
          <w:rFonts w:ascii="Arial" w:hAnsi="Arial" w:cs="Arial"/>
          <w:i/>
          <w:color w:val="000000"/>
          <w:shd w:val="clear" w:color="auto" w:fill="FFFFFF"/>
          <w:lang w:val="mn-MN"/>
        </w:rPr>
        <w:tab/>
      </w:r>
      <w:r w:rsidRPr="004024BD">
        <w:rPr>
          <w:rFonts w:ascii="Arial" w:hAnsi="Arial" w:cs="Arial"/>
          <w:i/>
          <w:color w:val="000000"/>
          <w:shd w:val="clear" w:color="auto" w:fill="FFFFFF"/>
          <w:lang w:val="mn-MN"/>
        </w:rPr>
        <w:tab/>
      </w:r>
      <w:r w:rsidRPr="004024BD">
        <w:rPr>
          <w:rFonts w:ascii="Arial" w:hAnsi="Arial" w:cs="Arial"/>
          <w:i/>
          <w:color w:val="000000"/>
          <w:shd w:val="clear" w:color="auto" w:fill="FFFFFF"/>
          <w:lang w:val="mn-MN"/>
        </w:rPr>
        <w:tab/>
      </w:r>
      <w:r w:rsidRPr="004024BD">
        <w:rPr>
          <w:rFonts w:ascii="Arial" w:hAnsi="Arial" w:cs="Arial"/>
          <w:i/>
          <w:color w:val="000000"/>
          <w:shd w:val="clear" w:color="auto" w:fill="FFFFFF"/>
          <w:lang w:val="mn-MN"/>
        </w:rPr>
        <w:tab/>
      </w:r>
      <w:r w:rsidRPr="004024BD">
        <w:rPr>
          <w:rFonts w:ascii="Arial" w:hAnsi="Arial" w:cs="Arial"/>
          <w:i/>
          <w:color w:val="000000"/>
          <w:shd w:val="clear" w:color="auto" w:fill="FFFFFF"/>
          <w:lang w:val="mn-MN"/>
        </w:rPr>
        <w:tab/>
      </w:r>
      <w:r w:rsidRPr="004024BD">
        <w:rPr>
          <w:rFonts w:ascii="Arial" w:hAnsi="Arial" w:cs="Arial"/>
          <w:i/>
          <w:color w:val="000000"/>
          <w:shd w:val="clear" w:color="auto" w:fill="FFFFFF"/>
          <w:lang w:val="mn-MN"/>
        </w:rPr>
        <w:tab/>
      </w:r>
      <w:r w:rsidRPr="004024BD">
        <w:rPr>
          <w:rFonts w:ascii="Arial" w:hAnsi="Arial" w:cs="Arial"/>
          <w:i/>
          <w:color w:val="000000"/>
          <w:shd w:val="clear" w:color="auto" w:fill="FFFFFF"/>
          <w:lang w:val="mn-MN"/>
        </w:rPr>
        <w:tab/>
      </w:r>
      <w:r w:rsidRPr="004024BD">
        <w:rPr>
          <w:rFonts w:ascii="Arial" w:hAnsi="Arial" w:cs="Arial"/>
          <w:b/>
          <w:lang w:val="mn-MN"/>
        </w:rPr>
        <w:t xml:space="preserve">      </w:t>
      </w:r>
      <w:r w:rsidRPr="004024BD">
        <w:rPr>
          <w:rFonts w:ascii="Arial" w:hAnsi="Arial" w:cs="Arial"/>
          <w:i/>
          <w:lang w:val="mn-MN"/>
        </w:rPr>
        <w:t>Эх сурвалж: Сангийн яам</w:t>
      </w:r>
    </w:p>
    <w:p w14:paraId="1B88F003" w14:textId="77777777" w:rsidR="00EB07AB" w:rsidRPr="004024BD" w:rsidRDefault="00EB07AB" w:rsidP="00EB07AB">
      <w:pPr>
        <w:spacing w:after="0" w:line="240" w:lineRule="auto"/>
        <w:ind w:firstLine="720"/>
        <w:jc w:val="both"/>
        <w:rPr>
          <w:rFonts w:ascii="Arial" w:hAnsi="Arial" w:cs="Arial"/>
          <w:b/>
          <w:lang w:val="mn-MN"/>
        </w:rPr>
      </w:pPr>
    </w:p>
    <w:p w14:paraId="6F6C5A3C" w14:textId="77777777" w:rsidR="00EB07AB" w:rsidRPr="004024BD" w:rsidRDefault="00EB07AB" w:rsidP="00EB07AB">
      <w:pPr>
        <w:pStyle w:val="Heading3"/>
        <w:spacing w:before="0" w:line="240" w:lineRule="auto"/>
        <w:ind w:firstLine="709"/>
        <w:rPr>
          <w:rFonts w:ascii="Arial" w:hAnsi="Arial" w:cs="Arial"/>
          <w:b/>
          <w:color w:val="auto"/>
        </w:rPr>
      </w:pPr>
      <w:r w:rsidRPr="004024BD">
        <w:rPr>
          <w:rFonts w:ascii="Arial" w:hAnsi="Arial" w:cs="Arial"/>
          <w:b/>
          <w:color w:val="auto"/>
        </w:rPr>
        <w:t>1.2.2.Гадаад үнэт цаас</w:t>
      </w:r>
    </w:p>
    <w:p w14:paraId="2ACEA403" w14:textId="77777777" w:rsidR="00EB07AB" w:rsidRPr="004024BD" w:rsidRDefault="00EB07AB" w:rsidP="00EB07AB">
      <w:pPr>
        <w:pStyle w:val="NoSpacing"/>
        <w:spacing w:after="0" w:line="240" w:lineRule="auto"/>
        <w:rPr>
          <w:rFonts w:ascii="Arial" w:hAnsi="Arial" w:cs="Arial"/>
          <w:sz w:val="24"/>
          <w:szCs w:val="24"/>
        </w:rPr>
      </w:pPr>
    </w:p>
    <w:p w14:paraId="5476D670" w14:textId="77777777" w:rsidR="00EB07AB" w:rsidRPr="004024BD" w:rsidRDefault="00EB07AB" w:rsidP="00EB07AB">
      <w:pPr>
        <w:spacing w:after="0" w:line="240" w:lineRule="auto"/>
        <w:ind w:firstLine="720"/>
        <w:jc w:val="both"/>
        <w:rPr>
          <w:rFonts w:ascii="Arial" w:hAnsi="Arial" w:cs="Arial"/>
          <w:sz w:val="24"/>
          <w:szCs w:val="24"/>
          <w:lang w:val="mn-MN"/>
        </w:rPr>
      </w:pPr>
      <w:r w:rsidRPr="004024BD">
        <w:rPr>
          <w:rFonts w:ascii="Arial" w:hAnsi="Arial" w:cs="Arial"/>
          <w:sz w:val="24"/>
          <w:szCs w:val="24"/>
          <w:lang w:val="mn-MN"/>
        </w:rPr>
        <w:t xml:space="preserve">Засгийн газраас олон улсын зах зээлд арилжаалсан </w:t>
      </w:r>
      <w:r w:rsidRPr="004024BD" w:rsidDel="0003628E">
        <w:rPr>
          <w:rFonts w:ascii="Arial" w:hAnsi="Arial" w:cs="Arial"/>
          <w:sz w:val="24"/>
          <w:szCs w:val="24"/>
          <w:lang w:val="mn-MN"/>
        </w:rPr>
        <w:t>гадаад</w:t>
      </w:r>
      <w:r w:rsidRPr="004024BD">
        <w:rPr>
          <w:rFonts w:ascii="Arial" w:hAnsi="Arial" w:cs="Arial"/>
          <w:sz w:val="24"/>
          <w:szCs w:val="24"/>
          <w:lang w:val="mn-MN"/>
        </w:rPr>
        <w:t xml:space="preserve"> үнэт цаасны үлдэгдэл 2021 оны жилийн эцсийн байдлаар 8,175.6 тэрбум төгрөг байна.</w:t>
      </w:r>
    </w:p>
    <w:p w14:paraId="6E0D6E3C" w14:textId="77777777" w:rsidR="00EB07AB" w:rsidRPr="004024BD" w:rsidRDefault="00EB07AB" w:rsidP="00EB07AB">
      <w:pPr>
        <w:spacing w:after="0" w:line="240" w:lineRule="auto"/>
        <w:ind w:firstLine="720"/>
        <w:jc w:val="both"/>
        <w:rPr>
          <w:rFonts w:ascii="Arial" w:hAnsi="Arial" w:cs="Arial"/>
          <w:lang w:val="mn-MN"/>
        </w:rPr>
      </w:pPr>
    </w:p>
    <w:p w14:paraId="144AF50D" w14:textId="77777777" w:rsidR="00EB07AB" w:rsidRPr="004024BD" w:rsidRDefault="00EB07AB" w:rsidP="00EB07AB">
      <w:pPr>
        <w:spacing w:after="0"/>
        <w:rPr>
          <w:rFonts w:ascii="Arial" w:hAnsi="Arial" w:cs="Arial"/>
          <w:i/>
          <w:iCs/>
          <w:lang w:val="mn-MN"/>
        </w:rPr>
      </w:pPr>
      <w:r w:rsidRPr="004024BD">
        <w:rPr>
          <w:rFonts w:ascii="Arial" w:hAnsi="Arial" w:cs="Arial"/>
          <w:i/>
          <w:lang w:val="mn-MN"/>
        </w:rPr>
        <w:t xml:space="preserve">        </w:t>
      </w:r>
      <w:r w:rsidRPr="004024BD">
        <w:rPr>
          <w:rFonts w:ascii="Arial" w:hAnsi="Arial" w:cs="Arial"/>
          <w:i/>
          <w:lang w:val="mn-MN"/>
        </w:rPr>
        <w:tab/>
        <w:t>Хүснэгт №3: Гадаад үнэт цаас, 2021.12.31</w:t>
      </w:r>
      <w:r w:rsidRPr="004024BD">
        <w:rPr>
          <w:rFonts w:ascii="Arial" w:hAnsi="Arial" w:cs="Arial"/>
          <w:i/>
          <w:iCs/>
          <w:lang w:val="mn-MN"/>
        </w:rPr>
        <w:t>-ний байдлаар</w:t>
      </w:r>
    </w:p>
    <w:p w14:paraId="1AA7B3F0" w14:textId="77777777" w:rsidR="00EB07AB" w:rsidRPr="004024BD" w:rsidRDefault="00EB07AB" w:rsidP="00EB07AB">
      <w:pPr>
        <w:spacing w:after="0"/>
        <w:rPr>
          <w:rFonts w:ascii="Arial" w:hAnsi="Arial" w:cs="Arial"/>
          <w:i/>
          <w:lang w:val="mn-MN"/>
        </w:rPr>
      </w:pP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t xml:space="preserve">    </w:t>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t xml:space="preserve">            /тэрбум төгрөг/</w:t>
      </w:r>
    </w:p>
    <w:tbl>
      <w:tblPr>
        <w:tblStyle w:val="TableGrid"/>
        <w:tblW w:w="9257" w:type="dxa"/>
        <w:tblInd w:w="445" w:type="dxa"/>
        <w:tblLook w:val="04A0" w:firstRow="1" w:lastRow="0" w:firstColumn="1" w:lastColumn="0" w:noHBand="0" w:noVBand="1"/>
      </w:tblPr>
      <w:tblGrid>
        <w:gridCol w:w="556"/>
        <w:gridCol w:w="2575"/>
        <w:gridCol w:w="1553"/>
        <w:gridCol w:w="2301"/>
        <w:gridCol w:w="2272"/>
      </w:tblGrid>
      <w:tr w:rsidR="00EB07AB" w:rsidRPr="004024BD" w14:paraId="3EC4DEC8" w14:textId="77777777" w:rsidTr="00FD3D1D">
        <w:trPr>
          <w:trHeight w:val="248"/>
        </w:trPr>
        <w:tc>
          <w:tcPr>
            <w:tcW w:w="556" w:type="dxa"/>
            <w:shd w:val="clear" w:color="auto" w:fill="1F3864" w:themeFill="accent1" w:themeFillShade="80"/>
            <w:noWrap/>
            <w:hideMark/>
          </w:tcPr>
          <w:p w14:paraId="2EAECB37" w14:textId="77777777" w:rsidR="00EB07AB" w:rsidRPr="004024BD" w:rsidRDefault="00EB07AB" w:rsidP="00FD3D1D">
            <w:pPr>
              <w:rPr>
                <w:rFonts w:ascii="Arial" w:eastAsia="Times New Roman" w:hAnsi="Arial" w:cs="Arial"/>
                <w:b/>
                <w:sz w:val="20"/>
                <w:szCs w:val="20"/>
                <w:lang w:val="mn-MN"/>
              </w:rPr>
            </w:pPr>
            <w:r w:rsidRPr="004024BD">
              <w:rPr>
                <w:rFonts w:ascii="Arial" w:eastAsia="Times New Roman" w:hAnsi="Arial" w:cs="Arial"/>
                <w:b/>
                <w:sz w:val="20"/>
                <w:szCs w:val="20"/>
                <w:lang w:val="mn-MN"/>
              </w:rPr>
              <w:t>№</w:t>
            </w:r>
          </w:p>
        </w:tc>
        <w:tc>
          <w:tcPr>
            <w:tcW w:w="2575" w:type="dxa"/>
            <w:shd w:val="clear" w:color="auto" w:fill="1F3864" w:themeFill="accent1" w:themeFillShade="80"/>
            <w:noWrap/>
            <w:hideMark/>
          </w:tcPr>
          <w:p w14:paraId="02B6CC55" w14:textId="77777777" w:rsidR="00EB07AB" w:rsidRPr="004024BD" w:rsidRDefault="00EB07AB" w:rsidP="00FD3D1D">
            <w:pPr>
              <w:rPr>
                <w:rFonts w:ascii="Arial" w:eastAsia="Times New Roman" w:hAnsi="Arial" w:cs="Arial"/>
                <w:b/>
                <w:sz w:val="20"/>
                <w:szCs w:val="20"/>
                <w:lang w:val="mn-MN"/>
              </w:rPr>
            </w:pPr>
            <w:r w:rsidRPr="004024BD">
              <w:rPr>
                <w:rFonts w:ascii="Arial" w:eastAsia="Times New Roman" w:hAnsi="Arial" w:cs="Arial"/>
                <w:b/>
                <w:sz w:val="20"/>
                <w:szCs w:val="20"/>
                <w:lang w:val="mn-MN"/>
              </w:rPr>
              <w:t>Гадаад үнэт цаас</w:t>
            </w:r>
          </w:p>
        </w:tc>
        <w:tc>
          <w:tcPr>
            <w:tcW w:w="1553" w:type="dxa"/>
            <w:shd w:val="clear" w:color="auto" w:fill="1F3864" w:themeFill="accent1" w:themeFillShade="80"/>
            <w:noWrap/>
            <w:hideMark/>
          </w:tcPr>
          <w:p w14:paraId="39C99A11" w14:textId="77777777" w:rsidR="00EB07AB" w:rsidRPr="004024BD" w:rsidRDefault="00EB07AB" w:rsidP="00FD3D1D">
            <w:pPr>
              <w:jc w:val="center"/>
              <w:rPr>
                <w:rFonts w:ascii="Arial" w:eastAsia="Times New Roman" w:hAnsi="Arial" w:cs="Arial"/>
                <w:b/>
                <w:sz w:val="20"/>
                <w:szCs w:val="20"/>
                <w:lang w:val="mn-MN"/>
              </w:rPr>
            </w:pPr>
            <w:r w:rsidRPr="004024BD">
              <w:rPr>
                <w:rFonts w:ascii="Arial" w:eastAsia="Times New Roman" w:hAnsi="Arial" w:cs="Arial"/>
                <w:b/>
                <w:sz w:val="20"/>
                <w:szCs w:val="20"/>
                <w:lang w:val="mn-MN"/>
              </w:rPr>
              <w:t>Хүү</w:t>
            </w:r>
          </w:p>
        </w:tc>
        <w:tc>
          <w:tcPr>
            <w:tcW w:w="2301" w:type="dxa"/>
            <w:shd w:val="clear" w:color="auto" w:fill="1F3864" w:themeFill="accent1" w:themeFillShade="80"/>
            <w:noWrap/>
            <w:hideMark/>
          </w:tcPr>
          <w:p w14:paraId="06285912" w14:textId="77777777" w:rsidR="00EB07AB" w:rsidRPr="004024BD" w:rsidRDefault="00EB07AB" w:rsidP="00FD3D1D">
            <w:pPr>
              <w:jc w:val="center"/>
              <w:rPr>
                <w:rFonts w:ascii="Arial" w:eastAsia="Times New Roman" w:hAnsi="Arial" w:cs="Arial"/>
                <w:b/>
                <w:sz w:val="20"/>
                <w:szCs w:val="20"/>
                <w:lang w:val="mn-MN"/>
              </w:rPr>
            </w:pPr>
            <w:r w:rsidRPr="004024BD">
              <w:rPr>
                <w:rFonts w:ascii="Arial" w:eastAsia="Times New Roman" w:hAnsi="Arial" w:cs="Arial"/>
                <w:b/>
                <w:sz w:val="20"/>
                <w:szCs w:val="20"/>
                <w:lang w:val="mn-MN"/>
              </w:rPr>
              <w:t>Хугацаа</w:t>
            </w:r>
          </w:p>
        </w:tc>
        <w:tc>
          <w:tcPr>
            <w:tcW w:w="2272" w:type="dxa"/>
            <w:shd w:val="clear" w:color="auto" w:fill="1F3864" w:themeFill="accent1" w:themeFillShade="80"/>
            <w:noWrap/>
            <w:hideMark/>
          </w:tcPr>
          <w:p w14:paraId="54EDB851" w14:textId="77777777" w:rsidR="00EB07AB" w:rsidRPr="004024BD" w:rsidRDefault="00EB07AB" w:rsidP="00FD3D1D">
            <w:pPr>
              <w:jc w:val="center"/>
              <w:rPr>
                <w:rFonts w:ascii="Arial" w:eastAsia="Times New Roman" w:hAnsi="Arial" w:cs="Arial"/>
                <w:b/>
                <w:sz w:val="20"/>
                <w:szCs w:val="20"/>
                <w:lang w:val="mn-MN"/>
              </w:rPr>
            </w:pPr>
            <w:r w:rsidRPr="004024BD">
              <w:rPr>
                <w:rFonts w:ascii="Arial" w:eastAsia="Times New Roman" w:hAnsi="Arial" w:cs="Arial"/>
                <w:b/>
                <w:sz w:val="20"/>
                <w:szCs w:val="20"/>
                <w:lang w:val="mn-MN"/>
              </w:rPr>
              <w:t>Үлдэгдэл</w:t>
            </w:r>
          </w:p>
        </w:tc>
      </w:tr>
      <w:tr w:rsidR="00EB07AB" w:rsidRPr="004024BD" w14:paraId="45F82F3E" w14:textId="77777777" w:rsidTr="00FD3D1D">
        <w:trPr>
          <w:trHeight w:val="256"/>
        </w:trPr>
        <w:tc>
          <w:tcPr>
            <w:tcW w:w="556" w:type="dxa"/>
            <w:noWrap/>
            <w:hideMark/>
          </w:tcPr>
          <w:p w14:paraId="21A372F4" w14:textId="77777777" w:rsidR="00EB07AB" w:rsidRPr="004024BD" w:rsidRDefault="00EB07AB" w:rsidP="00FD3D1D">
            <w:pPr>
              <w:jc w:val="center"/>
              <w:rPr>
                <w:rFonts w:ascii="Arial" w:eastAsia="Times New Roman" w:hAnsi="Arial" w:cs="Arial"/>
                <w:sz w:val="20"/>
                <w:szCs w:val="20"/>
                <w:lang w:val="mn-MN"/>
              </w:rPr>
            </w:pPr>
            <w:r w:rsidRPr="004024BD">
              <w:rPr>
                <w:rFonts w:ascii="Arial" w:eastAsia="Times New Roman" w:hAnsi="Arial" w:cs="Arial"/>
                <w:sz w:val="20"/>
                <w:szCs w:val="20"/>
                <w:lang w:val="mn-MN"/>
              </w:rPr>
              <w:t>1</w:t>
            </w:r>
          </w:p>
        </w:tc>
        <w:tc>
          <w:tcPr>
            <w:tcW w:w="2575" w:type="dxa"/>
            <w:noWrap/>
            <w:hideMark/>
          </w:tcPr>
          <w:p w14:paraId="167DBB62" w14:textId="77777777" w:rsidR="00EB07AB" w:rsidRPr="004024BD" w:rsidRDefault="00EB07AB" w:rsidP="00FD3D1D">
            <w:pPr>
              <w:rPr>
                <w:rFonts w:ascii="Arial" w:eastAsia="Times New Roman" w:hAnsi="Arial" w:cs="Arial"/>
                <w:sz w:val="20"/>
                <w:szCs w:val="20"/>
                <w:lang w:val="mn-MN"/>
              </w:rPr>
            </w:pPr>
            <w:r w:rsidRPr="004024BD">
              <w:rPr>
                <w:rFonts w:ascii="Arial" w:eastAsia="Times New Roman" w:hAnsi="Arial" w:cs="Arial"/>
                <w:sz w:val="20"/>
                <w:szCs w:val="20"/>
                <w:lang w:val="mn-MN"/>
              </w:rPr>
              <w:t>Чингис-2022</w:t>
            </w:r>
          </w:p>
        </w:tc>
        <w:tc>
          <w:tcPr>
            <w:tcW w:w="1553" w:type="dxa"/>
            <w:noWrap/>
            <w:hideMark/>
          </w:tcPr>
          <w:p w14:paraId="708A4FAD"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5.125%</w:t>
            </w:r>
          </w:p>
        </w:tc>
        <w:tc>
          <w:tcPr>
            <w:tcW w:w="2301" w:type="dxa"/>
            <w:noWrap/>
            <w:hideMark/>
          </w:tcPr>
          <w:p w14:paraId="051F9F14"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10 жил</w:t>
            </w:r>
          </w:p>
        </w:tc>
        <w:tc>
          <w:tcPr>
            <w:tcW w:w="2272" w:type="dxa"/>
            <w:noWrap/>
            <w:hideMark/>
          </w:tcPr>
          <w:p w14:paraId="2926863A"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389.6</w:t>
            </w:r>
          </w:p>
        </w:tc>
      </w:tr>
      <w:tr w:rsidR="00EB07AB" w:rsidRPr="004024BD" w14:paraId="552C7CF7" w14:textId="77777777" w:rsidTr="00FD3D1D">
        <w:trPr>
          <w:trHeight w:val="256"/>
        </w:trPr>
        <w:tc>
          <w:tcPr>
            <w:tcW w:w="556" w:type="dxa"/>
            <w:noWrap/>
            <w:hideMark/>
          </w:tcPr>
          <w:p w14:paraId="5D3944FF"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2</w:t>
            </w:r>
          </w:p>
        </w:tc>
        <w:tc>
          <w:tcPr>
            <w:tcW w:w="2575" w:type="dxa"/>
            <w:noWrap/>
            <w:hideMark/>
          </w:tcPr>
          <w:p w14:paraId="7918E4EB" w14:textId="77777777" w:rsidR="00EB07AB" w:rsidRPr="004024BD" w:rsidRDefault="00EB07AB" w:rsidP="00FD3D1D">
            <w:pP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Хуралдай</w:t>
            </w:r>
          </w:p>
        </w:tc>
        <w:tc>
          <w:tcPr>
            <w:tcW w:w="1553" w:type="dxa"/>
            <w:noWrap/>
            <w:hideMark/>
          </w:tcPr>
          <w:p w14:paraId="4B12F5FE"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8.750%</w:t>
            </w:r>
          </w:p>
        </w:tc>
        <w:tc>
          <w:tcPr>
            <w:tcW w:w="2301" w:type="dxa"/>
            <w:noWrap/>
            <w:hideMark/>
          </w:tcPr>
          <w:p w14:paraId="3173FD65"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7 жил</w:t>
            </w:r>
          </w:p>
        </w:tc>
        <w:tc>
          <w:tcPr>
            <w:tcW w:w="2272" w:type="dxa"/>
            <w:noWrap/>
            <w:hideMark/>
          </w:tcPr>
          <w:p w14:paraId="49CCE9A7" w14:textId="77777777" w:rsidR="00EB07AB" w:rsidRPr="004024BD" w:rsidRDefault="00EB07AB" w:rsidP="00FD3D1D">
            <w:pPr>
              <w:jc w:val="right"/>
              <w:rPr>
                <w:rFonts w:ascii="Arial" w:eastAsia="Times New Roman" w:hAnsi="Arial" w:cs="Arial"/>
                <w:color w:val="000000"/>
                <w:sz w:val="20"/>
                <w:szCs w:val="20"/>
                <w:lang w:val="mn-MN"/>
              </w:rPr>
            </w:pPr>
            <w:r w:rsidRPr="004024BD">
              <w:rPr>
                <w:rFonts w:ascii="Arial" w:eastAsia="Times New Roman" w:hAnsi="Arial" w:cs="Arial"/>
                <w:sz w:val="20"/>
                <w:szCs w:val="20"/>
                <w:lang w:val="mn-MN"/>
              </w:rPr>
              <w:t>1,709.1</w:t>
            </w:r>
          </w:p>
        </w:tc>
      </w:tr>
      <w:tr w:rsidR="00EB07AB" w:rsidRPr="004024BD" w14:paraId="4EF50034" w14:textId="77777777" w:rsidTr="00FD3D1D">
        <w:trPr>
          <w:trHeight w:val="256"/>
        </w:trPr>
        <w:tc>
          <w:tcPr>
            <w:tcW w:w="556" w:type="dxa"/>
            <w:noWrap/>
            <w:hideMark/>
          </w:tcPr>
          <w:p w14:paraId="26C2ECA5" w14:textId="77777777" w:rsidR="00EB07AB" w:rsidRPr="004024BD" w:rsidRDefault="00EB07AB" w:rsidP="00FD3D1D">
            <w:pPr>
              <w:jc w:val="center"/>
              <w:rPr>
                <w:rFonts w:ascii="Arial" w:eastAsia="Times New Roman" w:hAnsi="Arial" w:cs="Arial"/>
                <w:sz w:val="20"/>
                <w:szCs w:val="20"/>
                <w:lang w:val="mn-MN"/>
              </w:rPr>
            </w:pPr>
            <w:r w:rsidRPr="004024BD">
              <w:rPr>
                <w:rFonts w:ascii="Arial" w:eastAsia="Times New Roman" w:hAnsi="Arial" w:cs="Arial"/>
                <w:sz w:val="20"/>
                <w:szCs w:val="20"/>
                <w:lang w:val="mn-MN"/>
              </w:rPr>
              <w:t>3</w:t>
            </w:r>
          </w:p>
        </w:tc>
        <w:tc>
          <w:tcPr>
            <w:tcW w:w="2575" w:type="dxa"/>
            <w:noWrap/>
            <w:hideMark/>
          </w:tcPr>
          <w:p w14:paraId="1EFD3269" w14:textId="77777777" w:rsidR="00EB07AB" w:rsidRPr="004024BD" w:rsidRDefault="00EB07AB" w:rsidP="00FD3D1D">
            <w:pPr>
              <w:rPr>
                <w:rFonts w:ascii="Arial" w:eastAsia="Times New Roman" w:hAnsi="Arial" w:cs="Arial"/>
                <w:sz w:val="20"/>
                <w:szCs w:val="20"/>
                <w:lang w:val="mn-MN"/>
              </w:rPr>
            </w:pPr>
            <w:r w:rsidRPr="004024BD">
              <w:rPr>
                <w:rFonts w:ascii="Arial" w:eastAsia="Times New Roman" w:hAnsi="Arial" w:cs="Arial"/>
                <w:sz w:val="20"/>
                <w:szCs w:val="20"/>
                <w:lang w:val="mn-MN"/>
              </w:rPr>
              <w:t>Гэрэгэ</w:t>
            </w:r>
          </w:p>
        </w:tc>
        <w:tc>
          <w:tcPr>
            <w:tcW w:w="1553" w:type="dxa"/>
            <w:noWrap/>
            <w:hideMark/>
          </w:tcPr>
          <w:p w14:paraId="7283B005"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5.625%</w:t>
            </w:r>
          </w:p>
        </w:tc>
        <w:tc>
          <w:tcPr>
            <w:tcW w:w="2301" w:type="dxa"/>
            <w:noWrap/>
            <w:hideMark/>
          </w:tcPr>
          <w:p w14:paraId="4104B3C4"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5.5 жил</w:t>
            </w:r>
          </w:p>
        </w:tc>
        <w:tc>
          <w:tcPr>
            <w:tcW w:w="2272" w:type="dxa"/>
            <w:noWrap/>
            <w:hideMark/>
          </w:tcPr>
          <w:p w14:paraId="6C713B18"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1,518.4</w:t>
            </w:r>
          </w:p>
        </w:tc>
      </w:tr>
      <w:tr w:rsidR="00EB07AB" w:rsidRPr="004024BD" w14:paraId="20733E63" w14:textId="77777777" w:rsidTr="00FD3D1D">
        <w:trPr>
          <w:trHeight w:val="256"/>
        </w:trPr>
        <w:tc>
          <w:tcPr>
            <w:tcW w:w="556" w:type="dxa"/>
            <w:noWrap/>
            <w:hideMark/>
          </w:tcPr>
          <w:p w14:paraId="2815A7BB"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4</w:t>
            </w:r>
          </w:p>
        </w:tc>
        <w:tc>
          <w:tcPr>
            <w:tcW w:w="2575" w:type="dxa"/>
            <w:noWrap/>
            <w:hideMark/>
          </w:tcPr>
          <w:p w14:paraId="61D0666E" w14:textId="77777777" w:rsidR="00EB07AB" w:rsidRPr="004024BD" w:rsidRDefault="00EB07AB" w:rsidP="00FD3D1D">
            <w:pP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Номад</w:t>
            </w:r>
          </w:p>
        </w:tc>
        <w:tc>
          <w:tcPr>
            <w:tcW w:w="1553" w:type="dxa"/>
            <w:noWrap/>
            <w:hideMark/>
          </w:tcPr>
          <w:p w14:paraId="12F67E54"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5.125%</w:t>
            </w:r>
          </w:p>
        </w:tc>
        <w:tc>
          <w:tcPr>
            <w:tcW w:w="2301" w:type="dxa"/>
            <w:noWrap/>
            <w:hideMark/>
          </w:tcPr>
          <w:p w14:paraId="1559135E"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5.5 жил</w:t>
            </w:r>
          </w:p>
        </w:tc>
        <w:tc>
          <w:tcPr>
            <w:tcW w:w="2272" w:type="dxa"/>
            <w:noWrap/>
            <w:hideMark/>
          </w:tcPr>
          <w:p w14:paraId="1548AF21" w14:textId="77777777" w:rsidR="00EB07AB" w:rsidRPr="004024BD" w:rsidRDefault="00EB07AB" w:rsidP="00FD3D1D">
            <w:pPr>
              <w:jc w:val="right"/>
              <w:rPr>
                <w:rFonts w:ascii="Arial" w:eastAsia="Times New Roman" w:hAnsi="Arial" w:cs="Arial"/>
                <w:color w:val="000000"/>
                <w:sz w:val="20"/>
                <w:szCs w:val="20"/>
                <w:lang w:val="mn-MN"/>
              </w:rPr>
            </w:pPr>
            <w:r w:rsidRPr="004024BD">
              <w:rPr>
                <w:rFonts w:ascii="Arial" w:eastAsia="Times New Roman" w:hAnsi="Arial" w:cs="Arial"/>
                <w:sz w:val="20"/>
                <w:szCs w:val="20"/>
                <w:lang w:val="mn-MN"/>
              </w:rPr>
              <w:t>1,709.1</w:t>
            </w:r>
          </w:p>
        </w:tc>
      </w:tr>
      <w:tr w:rsidR="00EB07AB" w:rsidRPr="004024BD" w14:paraId="4EFDF327" w14:textId="77777777" w:rsidTr="00FD3D1D">
        <w:trPr>
          <w:trHeight w:val="256"/>
        </w:trPr>
        <w:tc>
          <w:tcPr>
            <w:tcW w:w="556" w:type="dxa"/>
            <w:noWrap/>
            <w:hideMark/>
          </w:tcPr>
          <w:p w14:paraId="002D14B1" w14:textId="77777777" w:rsidR="00EB07AB" w:rsidRPr="004024BD" w:rsidRDefault="00EB07AB" w:rsidP="00FD3D1D">
            <w:pPr>
              <w:jc w:val="center"/>
              <w:rPr>
                <w:rFonts w:ascii="Arial" w:eastAsia="Times New Roman" w:hAnsi="Arial" w:cs="Arial"/>
                <w:sz w:val="20"/>
                <w:szCs w:val="20"/>
                <w:lang w:val="mn-MN"/>
              </w:rPr>
            </w:pPr>
            <w:r w:rsidRPr="004024BD">
              <w:rPr>
                <w:rFonts w:ascii="Arial" w:eastAsia="Times New Roman" w:hAnsi="Arial" w:cs="Arial"/>
                <w:sz w:val="20"/>
                <w:szCs w:val="20"/>
                <w:lang w:val="mn-MN"/>
              </w:rPr>
              <w:t>5</w:t>
            </w:r>
          </w:p>
        </w:tc>
        <w:tc>
          <w:tcPr>
            <w:tcW w:w="2575" w:type="dxa"/>
            <w:noWrap/>
            <w:hideMark/>
          </w:tcPr>
          <w:p w14:paraId="5C7F6AAB" w14:textId="77777777" w:rsidR="00EB07AB" w:rsidRPr="004024BD" w:rsidRDefault="00EB07AB" w:rsidP="00FD3D1D">
            <w:pPr>
              <w:rPr>
                <w:rFonts w:ascii="Arial" w:eastAsia="Times New Roman" w:hAnsi="Arial" w:cs="Arial"/>
                <w:sz w:val="20"/>
                <w:szCs w:val="20"/>
                <w:lang w:val="mn-MN"/>
              </w:rPr>
            </w:pPr>
            <w:r w:rsidRPr="004024BD">
              <w:rPr>
                <w:rFonts w:ascii="Arial" w:eastAsia="Times New Roman" w:hAnsi="Arial" w:cs="Arial"/>
                <w:sz w:val="20"/>
                <w:szCs w:val="20"/>
                <w:lang w:val="mn-MN"/>
              </w:rPr>
              <w:t>Сенчири-2027</w:t>
            </w:r>
          </w:p>
        </w:tc>
        <w:tc>
          <w:tcPr>
            <w:tcW w:w="1553" w:type="dxa"/>
            <w:noWrap/>
            <w:hideMark/>
          </w:tcPr>
          <w:p w14:paraId="1F2C0DF2"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3.500%</w:t>
            </w:r>
          </w:p>
        </w:tc>
        <w:tc>
          <w:tcPr>
            <w:tcW w:w="2301" w:type="dxa"/>
            <w:noWrap/>
            <w:hideMark/>
          </w:tcPr>
          <w:p w14:paraId="781FCD62"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6 жил</w:t>
            </w:r>
          </w:p>
        </w:tc>
        <w:tc>
          <w:tcPr>
            <w:tcW w:w="2272" w:type="dxa"/>
            <w:noWrap/>
            <w:hideMark/>
          </w:tcPr>
          <w:p w14:paraId="77172BF3"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1,424.2</w:t>
            </w:r>
          </w:p>
        </w:tc>
      </w:tr>
      <w:tr w:rsidR="00EB07AB" w:rsidRPr="004024BD" w14:paraId="3D7B7A23" w14:textId="77777777" w:rsidTr="00FD3D1D">
        <w:trPr>
          <w:trHeight w:val="256"/>
        </w:trPr>
        <w:tc>
          <w:tcPr>
            <w:tcW w:w="556" w:type="dxa"/>
            <w:noWrap/>
            <w:hideMark/>
          </w:tcPr>
          <w:p w14:paraId="7F65EBF7"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6</w:t>
            </w:r>
          </w:p>
        </w:tc>
        <w:tc>
          <w:tcPr>
            <w:tcW w:w="2575" w:type="dxa"/>
            <w:noWrap/>
            <w:hideMark/>
          </w:tcPr>
          <w:p w14:paraId="041A69E8" w14:textId="77777777" w:rsidR="00EB07AB" w:rsidRPr="004024BD" w:rsidRDefault="00EB07AB" w:rsidP="00FD3D1D">
            <w:pP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Сенчири-2031</w:t>
            </w:r>
          </w:p>
        </w:tc>
        <w:tc>
          <w:tcPr>
            <w:tcW w:w="1553" w:type="dxa"/>
            <w:noWrap/>
            <w:hideMark/>
          </w:tcPr>
          <w:p w14:paraId="045D9079"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4.450%</w:t>
            </w:r>
          </w:p>
        </w:tc>
        <w:tc>
          <w:tcPr>
            <w:tcW w:w="2301" w:type="dxa"/>
            <w:noWrap/>
            <w:hideMark/>
          </w:tcPr>
          <w:p w14:paraId="147C255C"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10 жил</w:t>
            </w:r>
          </w:p>
        </w:tc>
        <w:tc>
          <w:tcPr>
            <w:tcW w:w="2272" w:type="dxa"/>
            <w:noWrap/>
            <w:hideMark/>
          </w:tcPr>
          <w:p w14:paraId="79B2051F" w14:textId="77777777" w:rsidR="00EB07AB" w:rsidRPr="004024BD" w:rsidRDefault="00EB07AB" w:rsidP="00FD3D1D">
            <w:pPr>
              <w:jc w:val="right"/>
              <w:rPr>
                <w:rFonts w:ascii="Arial" w:eastAsia="Times New Roman" w:hAnsi="Arial" w:cs="Arial"/>
                <w:color w:val="000000"/>
                <w:sz w:val="20"/>
                <w:szCs w:val="20"/>
                <w:lang w:val="mn-MN"/>
              </w:rPr>
            </w:pPr>
            <w:r w:rsidRPr="004024BD">
              <w:rPr>
                <w:rFonts w:ascii="Arial" w:eastAsia="Times New Roman" w:hAnsi="Arial" w:cs="Arial"/>
                <w:sz w:val="20"/>
                <w:szCs w:val="20"/>
                <w:lang w:val="mn-MN"/>
              </w:rPr>
              <w:t>1,424.2</w:t>
            </w:r>
          </w:p>
        </w:tc>
      </w:tr>
      <w:tr w:rsidR="00EB07AB" w:rsidRPr="004024BD" w14:paraId="6BEE1182" w14:textId="77777777" w:rsidTr="00FD3D1D">
        <w:trPr>
          <w:trHeight w:val="256"/>
        </w:trPr>
        <w:tc>
          <w:tcPr>
            <w:tcW w:w="556" w:type="dxa"/>
            <w:noWrap/>
            <w:hideMark/>
          </w:tcPr>
          <w:p w14:paraId="45095E91" w14:textId="77777777" w:rsidR="00EB07AB" w:rsidRPr="004024BD" w:rsidRDefault="00EB07AB" w:rsidP="00FD3D1D">
            <w:pPr>
              <w:rPr>
                <w:rFonts w:ascii="Arial" w:eastAsia="Times New Roman" w:hAnsi="Arial" w:cs="Arial"/>
                <w:sz w:val="20"/>
                <w:szCs w:val="20"/>
                <w:lang w:val="mn-MN"/>
              </w:rPr>
            </w:pPr>
            <w:r w:rsidRPr="004024BD">
              <w:rPr>
                <w:rFonts w:ascii="Arial" w:eastAsia="Times New Roman" w:hAnsi="Arial" w:cs="Arial"/>
                <w:sz w:val="20"/>
                <w:szCs w:val="20"/>
                <w:lang w:val="mn-MN"/>
              </w:rPr>
              <w:t> </w:t>
            </w:r>
          </w:p>
        </w:tc>
        <w:tc>
          <w:tcPr>
            <w:tcW w:w="2575" w:type="dxa"/>
            <w:noWrap/>
            <w:hideMark/>
          </w:tcPr>
          <w:p w14:paraId="137DAFF4" w14:textId="77777777" w:rsidR="00EB07AB" w:rsidRPr="004024BD" w:rsidRDefault="00EB07AB" w:rsidP="00FD3D1D">
            <w:pPr>
              <w:jc w:val="center"/>
              <w:rPr>
                <w:rFonts w:ascii="Arial" w:eastAsia="Times New Roman" w:hAnsi="Arial" w:cs="Arial"/>
                <w:b/>
                <w:sz w:val="20"/>
                <w:szCs w:val="20"/>
                <w:lang w:val="mn-MN"/>
              </w:rPr>
            </w:pPr>
            <w:r w:rsidRPr="004024BD">
              <w:rPr>
                <w:rFonts w:ascii="Arial" w:eastAsia="Times New Roman" w:hAnsi="Arial" w:cs="Arial"/>
                <w:b/>
                <w:sz w:val="20"/>
                <w:szCs w:val="20"/>
                <w:lang w:val="mn-MN"/>
              </w:rPr>
              <w:t>НИЙТ</w:t>
            </w:r>
          </w:p>
        </w:tc>
        <w:tc>
          <w:tcPr>
            <w:tcW w:w="1553" w:type="dxa"/>
            <w:noWrap/>
            <w:hideMark/>
          </w:tcPr>
          <w:p w14:paraId="57D3DDDC" w14:textId="77777777" w:rsidR="00EB07AB" w:rsidRPr="004024BD" w:rsidRDefault="00EB07AB" w:rsidP="00FD3D1D">
            <w:pPr>
              <w:rPr>
                <w:rFonts w:ascii="Arial" w:eastAsia="Times New Roman" w:hAnsi="Arial" w:cs="Arial"/>
                <w:b/>
                <w:sz w:val="20"/>
                <w:szCs w:val="20"/>
                <w:lang w:val="mn-MN"/>
              </w:rPr>
            </w:pPr>
            <w:r w:rsidRPr="004024BD">
              <w:rPr>
                <w:rFonts w:ascii="Arial" w:eastAsia="Times New Roman" w:hAnsi="Arial" w:cs="Arial"/>
                <w:b/>
                <w:sz w:val="20"/>
                <w:szCs w:val="20"/>
                <w:lang w:val="mn-MN"/>
              </w:rPr>
              <w:t> </w:t>
            </w:r>
          </w:p>
        </w:tc>
        <w:tc>
          <w:tcPr>
            <w:tcW w:w="2301" w:type="dxa"/>
            <w:noWrap/>
            <w:hideMark/>
          </w:tcPr>
          <w:p w14:paraId="75F31FEE" w14:textId="77777777" w:rsidR="00EB07AB" w:rsidRPr="004024BD" w:rsidRDefault="00EB07AB" w:rsidP="00FD3D1D">
            <w:pPr>
              <w:rPr>
                <w:rFonts w:ascii="Arial" w:eastAsia="Times New Roman" w:hAnsi="Arial" w:cs="Arial"/>
                <w:b/>
                <w:sz w:val="20"/>
                <w:szCs w:val="20"/>
                <w:lang w:val="mn-MN"/>
              </w:rPr>
            </w:pPr>
            <w:r w:rsidRPr="004024BD">
              <w:rPr>
                <w:rFonts w:ascii="Arial" w:eastAsia="Times New Roman" w:hAnsi="Arial" w:cs="Arial"/>
                <w:b/>
                <w:sz w:val="20"/>
                <w:szCs w:val="20"/>
                <w:lang w:val="mn-MN"/>
              </w:rPr>
              <w:t> </w:t>
            </w:r>
          </w:p>
        </w:tc>
        <w:tc>
          <w:tcPr>
            <w:tcW w:w="2272" w:type="dxa"/>
            <w:noWrap/>
            <w:hideMark/>
          </w:tcPr>
          <w:p w14:paraId="0B1CD397" w14:textId="77777777" w:rsidR="00EB07AB" w:rsidRPr="004024BD" w:rsidRDefault="00EB07AB" w:rsidP="00FD3D1D">
            <w:pPr>
              <w:jc w:val="right"/>
              <w:rPr>
                <w:rFonts w:ascii="Arial" w:eastAsia="Times New Roman" w:hAnsi="Arial" w:cs="Arial"/>
                <w:b/>
                <w:sz w:val="20"/>
                <w:szCs w:val="20"/>
                <w:lang w:val="mn-MN"/>
              </w:rPr>
            </w:pPr>
            <w:r w:rsidRPr="004024BD">
              <w:rPr>
                <w:rFonts w:ascii="Arial" w:eastAsia="Times New Roman" w:hAnsi="Arial" w:cs="Arial"/>
                <w:b/>
                <w:sz w:val="20"/>
                <w:szCs w:val="20"/>
                <w:lang w:val="mn-MN"/>
              </w:rPr>
              <w:t>8,175.6</w:t>
            </w:r>
          </w:p>
        </w:tc>
      </w:tr>
    </w:tbl>
    <w:p w14:paraId="27229746" w14:textId="77777777" w:rsidR="00EB07AB" w:rsidRPr="004024BD" w:rsidRDefault="00EB07AB" w:rsidP="00EB07AB">
      <w:pPr>
        <w:spacing w:after="0" w:line="240" w:lineRule="auto"/>
        <w:ind w:left="5760" w:firstLine="720"/>
        <w:jc w:val="both"/>
        <w:rPr>
          <w:rFonts w:ascii="Arial" w:hAnsi="Arial" w:cs="Arial"/>
          <w:lang w:val="mn-MN"/>
        </w:rPr>
      </w:pPr>
      <w:r w:rsidRPr="004024BD">
        <w:rPr>
          <w:rFonts w:ascii="Arial" w:hAnsi="Arial" w:cs="Arial"/>
          <w:i/>
          <w:lang w:val="mn-MN"/>
        </w:rPr>
        <w:t xml:space="preserve">         Эх сурвалж: Сангийн яам</w:t>
      </w:r>
    </w:p>
    <w:p w14:paraId="75121365" w14:textId="77777777" w:rsidR="00EB07AB" w:rsidRPr="004024BD" w:rsidRDefault="00EB07AB" w:rsidP="00EB07AB">
      <w:pPr>
        <w:spacing w:after="0" w:line="240" w:lineRule="auto"/>
        <w:ind w:firstLine="720"/>
        <w:jc w:val="both"/>
        <w:rPr>
          <w:rFonts w:ascii="Arial" w:hAnsi="Arial" w:cs="Arial"/>
          <w:sz w:val="24"/>
          <w:szCs w:val="24"/>
          <w:lang w:val="mn-MN"/>
        </w:rPr>
      </w:pPr>
    </w:p>
    <w:p w14:paraId="517F0805" w14:textId="77777777" w:rsidR="00EB07AB" w:rsidRPr="004024BD" w:rsidRDefault="00EB07AB" w:rsidP="00EB07AB">
      <w:pPr>
        <w:spacing w:after="0" w:line="240" w:lineRule="auto"/>
        <w:ind w:firstLine="720"/>
        <w:jc w:val="both"/>
        <w:rPr>
          <w:rFonts w:ascii="Arial" w:hAnsi="Arial" w:cs="Arial"/>
          <w:sz w:val="24"/>
          <w:szCs w:val="24"/>
          <w:lang w:val="mn-MN"/>
        </w:rPr>
      </w:pPr>
      <w:r w:rsidRPr="004024BD">
        <w:rPr>
          <w:rFonts w:ascii="Arial" w:hAnsi="Arial" w:cs="Arial"/>
          <w:sz w:val="24"/>
          <w:szCs w:val="24"/>
          <w:lang w:val="mn-MN"/>
        </w:rPr>
        <w:t xml:space="preserve">Монгол Улсын Засгийн газрын өрийн удирдлагын 2019-2022 оны стратегийн баримт бичгийн хэрэгжилтийг хангах, дунд хугацааны төлбөрийн дарамтыг бууруулах зорилгоор 2020 оны 09 дүгээр сарын 28-ны өдөр 600.0 сая ам.долларын 5.125 хувийн хүүтэй “Номад” бондыг арилжаалж, 2021 онд төлөгдөх 10.875 хувийн хүүтэй “Мазаалай” бонд, 2022 онд төлөгдөх 5.125 хувийн хүүтэй “Чингис” бондын тодорхой хэсгийг буцаан худалдаж авав. Мөн “Мазаалай” бондын үлдэгдэл 132.6 сая ам.долларын үндсэн төлбөрийг улсын төсвөөс 2021 оны 04 дүгээр сард бүрэн төлж барагдуулсан юм. </w:t>
      </w:r>
    </w:p>
    <w:p w14:paraId="11638B40" w14:textId="77777777" w:rsidR="00EB07AB" w:rsidRPr="004024BD" w:rsidRDefault="00EB07AB" w:rsidP="00EB07AB">
      <w:pPr>
        <w:spacing w:after="0" w:line="240" w:lineRule="auto"/>
        <w:ind w:firstLine="720"/>
        <w:jc w:val="both"/>
        <w:rPr>
          <w:rFonts w:ascii="Arial" w:hAnsi="Arial" w:cs="Arial"/>
          <w:sz w:val="24"/>
          <w:szCs w:val="24"/>
          <w:lang w:val="mn-MN"/>
        </w:rPr>
      </w:pPr>
    </w:p>
    <w:p w14:paraId="32E1CB27" w14:textId="77777777" w:rsidR="00EB07AB" w:rsidRPr="004024BD" w:rsidRDefault="00EB07AB" w:rsidP="00EB07AB">
      <w:pPr>
        <w:spacing w:after="0" w:line="240" w:lineRule="auto"/>
        <w:ind w:firstLine="720"/>
        <w:jc w:val="both"/>
        <w:rPr>
          <w:sz w:val="24"/>
          <w:szCs w:val="24"/>
          <w:lang w:val="mn-MN"/>
        </w:rPr>
      </w:pPr>
      <w:r w:rsidRPr="004024BD">
        <w:rPr>
          <w:rFonts w:ascii="Arial" w:hAnsi="Arial" w:cs="Arial"/>
          <w:sz w:val="24"/>
          <w:szCs w:val="24"/>
          <w:lang w:val="mn-MN"/>
        </w:rPr>
        <w:t>Түүнчлэн 2021 оны 07 дугаар сард “Сенчири” төслийн хүрээнд хугацаа тулаад байсан, 2012 онд гаргасан “Чингис” бонд болон 2017 онд гаргасан “Гэрэгэ” бондын өр төлбөрийн тодорхой хувийг дахин санхүүжилт хийж, өрийн зохицуулалтын арга хэмжээг авч хэрэгжүүлсэн бөгөөд түүхэндээ хамгийн бага түвшний хүү болох 3.5 хувийн хүүтэй, 6 жилийн хугацаатай 500 сая ам.доллар болон 10 жилийн хугацаатай 4.45 хувийн хүүтэй 500 сая ам.доллар, нийт 1.0 тэрбум ам.долларын өр төлбөрийг шийдвэрлээд байна</w:t>
      </w:r>
      <w:r w:rsidRPr="004024BD">
        <w:rPr>
          <w:sz w:val="24"/>
          <w:szCs w:val="24"/>
          <w:lang w:val="mn-MN"/>
        </w:rPr>
        <w:t>.</w:t>
      </w:r>
    </w:p>
    <w:p w14:paraId="1B3B53CA" w14:textId="77777777" w:rsidR="00EB07AB" w:rsidRPr="004024BD" w:rsidRDefault="00EB07AB" w:rsidP="00EB07AB">
      <w:pPr>
        <w:ind w:left="720" w:hanging="11"/>
        <w:jc w:val="both"/>
        <w:rPr>
          <w:rFonts w:ascii="Arial" w:hAnsi="Arial" w:cs="Arial"/>
          <w:color w:val="000000"/>
          <w:shd w:val="clear" w:color="auto" w:fill="FFFFFF"/>
          <w:lang w:val="mn-MN"/>
        </w:rPr>
      </w:pPr>
      <w:r w:rsidRPr="004024BD">
        <w:rPr>
          <w:noProof/>
          <w:lang w:val="mn-MN"/>
        </w:rPr>
        <w:lastRenderedPageBreak/>
        <w:drawing>
          <wp:anchor distT="0" distB="0" distL="114300" distR="114300" simplePos="0" relativeHeight="251662336" behindDoc="0" locked="0" layoutInCell="1" allowOverlap="1" wp14:anchorId="004CAF07" wp14:editId="18E35AAA">
            <wp:simplePos x="0" y="0"/>
            <wp:positionH relativeFrom="column">
              <wp:posOffset>422275</wp:posOffset>
            </wp:positionH>
            <wp:positionV relativeFrom="paragraph">
              <wp:posOffset>270979</wp:posOffset>
            </wp:positionV>
            <wp:extent cx="2665730" cy="2327910"/>
            <wp:effectExtent l="0" t="0" r="1270" b="15240"/>
            <wp:wrapSquare wrapText="bothSides"/>
            <wp:docPr id="8" name="Chart 8">
              <a:extLst xmlns:a="http://schemas.openxmlformats.org/drawingml/2006/main">
                <a:ext uri="{FF2B5EF4-FFF2-40B4-BE49-F238E27FC236}">
                  <a16:creationId xmlns:a16="http://schemas.microsoft.com/office/drawing/2014/main" id="{BB4F1A9C-F7CA-463F-9AC0-926B49A641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4024BD">
        <w:rPr>
          <w:rFonts w:ascii="Arial" w:hAnsi="Arial" w:cs="Arial"/>
          <w:i/>
          <w:color w:val="000000"/>
          <w:shd w:val="clear" w:color="auto" w:fill="FFFFFF"/>
          <w:lang w:val="mn-MN"/>
        </w:rPr>
        <w:t xml:space="preserve">График </w:t>
      </w:r>
      <w:r w:rsidRPr="004024BD">
        <w:rPr>
          <w:rFonts w:ascii="Arial" w:hAnsi="Arial" w:cs="Arial"/>
          <w:i/>
          <w:lang w:val="mn-MN"/>
        </w:rPr>
        <w:t>№3: Дахин санхүүжүүлсэн гадаад үнэт цаас хүүгийн хувиар</w:t>
      </w:r>
    </w:p>
    <w:p w14:paraId="4E0A1DD6" w14:textId="77777777" w:rsidR="00EB07AB" w:rsidRPr="004024BD" w:rsidRDefault="00EB07AB" w:rsidP="00EB07AB">
      <w:pPr>
        <w:jc w:val="both"/>
        <w:rPr>
          <w:rFonts w:ascii="Arial" w:hAnsi="Arial" w:cs="Arial"/>
          <w:i/>
          <w:lang w:val="mn-MN"/>
        </w:rPr>
      </w:pPr>
      <w:r w:rsidRPr="004024BD">
        <w:rPr>
          <w:noProof/>
          <w:lang w:val="mn-MN"/>
        </w:rPr>
        <w:t xml:space="preserve"> </w:t>
      </w:r>
      <w:r w:rsidRPr="004024BD">
        <w:rPr>
          <w:noProof/>
          <w:lang w:val="mn-MN"/>
        </w:rPr>
        <w:drawing>
          <wp:inline distT="0" distB="0" distL="0" distR="0" wp14:anchorId="6519EB4C" wp14:editId="2E64AC04">
            <wp:extent cx="2597150" cy="2327910"/>
            <wp:effectExtent l="0" t="0" r="6350" b="8890"/>
            <wp:docPr id="11" name="Chart 11">
              <a:extLst xmlns:a="http://schemas.openxmlformats.org/drawingml/2006/main">
                <a:ext uri="{FF2B5EF4-FFF2-40B4-BE49-F238E27FC236}">
                  <a16:creationId xmlns:a16="http://schemas.microsoft.com/office/drawing/2014/main" id="{187CD29D-5ED6-4305-A5CE-F5DF7CCB75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4024BD">
        <w:rPr>
          <w:rFonts w:ascii="Arial" w:hAnsi="Arial" w:cs="Arial"/>
          <w:i/>
          <w:lang w:val="mn-MN"/>
        </w:rPr>
        <w:t xml:space="preserve"> </w:t>
      </w:r>
    </w:p>
    <w:p w14:paraId="75277015" w14:textId="77777777" w:rsidR="00EB07AB" w:rsidRPr="004024BD" w:rsidRDefault="00EB07AB" w:rsidP="00EB07AB">
      <w:pPr>
        <w:pStyle w:val="NoSpacing"/>
        <w:spacing w:after="0" w:line="240" w:lineRule="auto"/>
        <w:rPr>
          <w:rFonts w:ascii="Arial" w:hAnsi="Arial" w:cs="Arial"/>
        </w:rPr>
        <w:sectPr w:rsidR="00EB07AB" w:rsidRPr="004024BD" w:rsidSect="00EB07AB">
          <w:footerReference w:type="default" r:id="rId12"/>
          <w:footerReference w:type="first" r:id="rId13"/>
          <w:pgSz w:w="11906" w:h="16838" w:code="9"/>
          <w:pgMar w:top="1134" w:right="851" w:bottom="1134" w:left="1247" w:header="720" w:footer="567" w:gutter="0"/>
          <w:pgNumType w:start="1"/>
          <w:cols w:space="720"/>
          <w:titlePg/>
          <w:docGrid w:linePitch="360"/>
        </w:sectPr>
      </w:pPr>
    </w:p>
    <w:p w14:paraId="0503D190" w14:textId="77777777" w:rsidR="00EB07AB" w:rsidRPr="004024BD" w:rsidRDefault="00EB07AB" w:rsidP="00EB07AB">
      <w:pPr>
        <w:spacing w:after="0" w:line="240" w:lineRule="auto"/>
        <w:ind w:left="5040" w:firstLine="720"/>
        <w:jc w:val="both"/>
        <w:rPr>
          <w:rFonts w:ascii="Arial" w:hAnsi="Arial" w:cs="Arial"/>
          <w:i/>
          <w:lang w:val="mn-MN"/>
        </w:rPr>
      </w:pPr>
      <w:r w:rsidRPr="004024BD">
        <w:rPr>
          <w:rFonts w:ascii="Arial" w:hAnsi="Arial" w:cs="Arial"/>
          <w:i/>
          <w:lang w:val="mn-MN"/>
        </w:rPr>
        <w:t xml:space="preserve">           Эх сурвалж: Сангийн яам</w:t>
      </w:r>
    </w:p>
    <w:p w14:paraId="7E8B4592" w14:textId="77777777" w:rsidR="00EB07AB" w:rsidRPr="004024BD" w:rsidRDefault="00EB07AB" w:rsidP="00EB07AB">
      <w:pPr>
        <w:spacing w:after="0" w:line="240" w:lineRule="auto"/>
        <w:ind w:left="5040" w:firstLine="720"/>
        <w:jc w:val="both"/>
        <w:rPr>
          <w:rFonts w:ascii="Arial" w:hAnsi="Arial" w:cs="Arial"/>
          <w:i/>
          <w:color w:val="000000"/>
          <w:shd w:val="clear" w:color="auto" w:fill="FFFFFF"/>
          <w:lang w:val="mn-MN"/>
        </w:rPr>
      </w:pPr>
    </w:p>
    <w:p w14:paraId="3FF8DE16" w14:textId="77777777" w:rsidR="00EB07AB" w:rsidRPr="004024BD" w:rsidRDefault="00EB07AB" w:rsidP="00EB07AB">
      <w:pPr>
        <w:spacing w:after="0" w:line="240" w:lineRule="auto"/>
        <w:ind w:firstLine="720"/>
        <w:jc w:val="both"/>
        <w:rPr>
          <w:rFonts w:ascii="Arial" w:hAnsi="Arial" w:cs="Arial"/>
          <w:sz w:val="24"/>
          <w:szCs w:val="24"/>
          <w:lang w:val="mn-MN" w:eastAsia="zh-CN"/>
        </w:rPr>
      </w:pPr>
      <w:r w:rsidRPr="004024BD">
        <w:rPr>
          <w:rFonts w:ascii="Arial" w:hAnsi="Arial" w:cs="Arial"/>
          <w:sz w:val="24"/>
          <w:szCs w:val="24"/>
          <w:lang w:val="mn-MN"/>
        </w:rPr>
        <w:t>Засгийн газрын үнэт цаасыг олон улсын зах зээл дээр амжилттай арилжаалах, хүүгийн түвшнийг доогуур тогтооход тухайн үеийн дэлхийн зах зээлийн нөхцөл байдлаас гадна үнэт цаас гаргагч орны зээлжих зэрэглэл чухал нөлөөтэй байдаг. Монгол Улсын зээлжих зэрэглэлийг “Мүүдис” агентлаг 2019 онд “</w:t>
      </w:r>
      <w:r w:rsidRPr="004024BD">
        <w:rPr>
          <w:rFonts w:ascii="Arial" w:hAnsi="Arial" w:cs="Arial"/>
          <w:sz w:val="24"/>
          <w:szCs w:val="24"/>
          <w:lang w:val="mn-MN" w:eastAsia="zh-CN"/>
        </w:rPr>
        <w:t xml:space="preserve">B3, хэтийн төлөвийг тогтвортой”, “Фитч” агентлаг “В, хэтийн төлөвийг тогтвортой”, “Эс энд Пи” агентлаг “В+, хэтийн төлөвийг тогтвортой” хэмээн үнэлж байсан бол 2020, 2021 онд зэрэглэл тогтоогч байгууллага тус бүрийн үнэлгээгээр зээлжих зэрэглэл “тогтвортой” хэвээр байв. Монгол Улсын  зээлжих зэрэглэл сайжирсан нь төсвийн алдагдлыг бууруулж, ханшийн сулралыг тогтворжуулж, гадаад валютын албан нөөцийг 1.0 тэрбум ам.доллароос 3.5 тэрбум ам.доллар хүртэл нэмэгдэхэд голлох эерэг нөлөө үзүүлэв. Мөн 2019-2021 онуудад төлөх хуваарьтай гадаад </w:t>
      </w:r>
      <w:r w:rsidRPr="004024BD">
        <w:rPr>
          <w:rFonts w:ascii="Arial" w:hAnsi="Arial" w:cs="Arial"/>
          <w:sz w:val="24"/>
          <w:szCs w:val="24"/>
          <w:lang w:val="mn-MN"/>
        </w:rPr>
        <w:t>үнэт цааснуудын</w:t>
      </w:r>
      <w:r w:rsidRPr="004024BD">
        <w:rPr>
          <w:rFonts w:ascii="Arial" w:hAnsi="Arial" w:cs="Arial"/>
          <w:sz w:val="24"/>
          <w:szCs w:val="24"/>
          <w:lang w:val="mn-MN" w:eastAsia="zh-CN"/>
        </w:rPr>
        <w:t xml:space="preserve"> төлбөрийн тодорхой хэсгийг эдийн засаг, төсөвт дарамт үүсгэхгүйгээр төлж барагдуулсан арга хэмжээ голлох нөлөөллийг үзүүлсэн байна.</w:t>
      </w:r>
    </w:p>
    <w:p w14:paraId="496CC922" w14:textId="77777777" w:rsidR="00EB07AB" w:rsidRPr="004024BD" w:rsidRDefault="00EB07AB" w:rsidP="00EB07AB">
      <w:pPr>
        <w:spacing w:after="0" w:line="240" w:lineRule="auto"/>
        <w:ind w:firstLine="720"/>
        <w:jc w:val="both"/>
        <w:rPr>
          <w:rFonts w:ascii="Arial" w:hAnsi="Arial" w:cs="Arial"/>
          <w:i/>
          <w:color w:val="000000"/>
          <w:sz w:val="24"/>
          <w:szCs w:val="24"/>
          <w:shd w:val="clear" w:color="auto" w:fill="FFFFFF"/>
          <w:lang w:val="mn-MN"/>
        </w:rPr>
      </w:pPr>
    </w:p>
    <w:p w14:paraId="6D6D00B4" w14:textId="77777777" w:rsidR="00EB07AB" w:rsidRPr="004024BD" w:rsidRDefault="00EB07AB" w:rsidP="00EB07AB">
      <w:pPr>
        <w:jc w:val="both"/>
        <w:rPr>
          <w:rFonts w:ascii="Arial" w:hAnsi="Arial" w:cs="Arial"/>
          <w:i/>
          <w:color w:val="000000"/>
          <w:shd w:val="clear" w:color="auto" w:fill="FFFFFF"/>
          <w:lang w:val="mn-MN"/>
        </w:rPr>
        <w:sectPr w:rsidR="00EB07AB" w:rsidRPr="004024BD" w:rsidSect="002A2F8C">
          <w:type w:val="continuous"/>
          <w:pgSz w:w="11906" w:h="16838" w:code="9"/>
          <w:pgMar w:top="1134" w:right="851" w:bottom="851" w:left="1247" w:header="720" w:footer="720" w:gutter="0"/>
          <w:pgNumType w:start="0"/>
          <w:cols w:space="720"/>
          <w:titlePg/>
          <w:docGrid w:linePitch="360"/>
        </w:sectPr>
      </w:pPr>
      <w:r w:rsidRPr="004024BD">
        <w:rPr>
          <w:noProof/>
          <w:lang w:val="mn-MN"/>
        </w:rPr>
        <w:drawing>
          <wp:anchor distT="0" distB="0" distL="114300" distR="114300" simplePos="0" relativeHeight="251664384" behindDoc="0" locked="0" layoutInCell="1" allowOverlap="1" wp14:anchorId="6727E699" wp14:editId="00C670ED">
            <wp:simplePos x="0" y="0"/>
            <wp:positionH relativeFrom="margin">
              <wp:posOffset>141605</wp:posOffset>
            </wp:positionH>
            <wp:positionV relativeFrom="paragraph">
              <wp:posOffset>195580</wp:posOffset>
            </wp:positionV>
            <wp:extent cx="6067425" cy="1971675"/>
            <wp:effectExtent l="0" t="0" r="9525" b="9525"/>
            <wp:wrapSquare wrapText="bothSides"/>
            <wp:docPr id="15" name="Chart 15">
              <a:extLst xmlns:a="http://schemas.openxmlformats.org/drawingml/2006/main">
                <a:ext uri="{FF2B5EF4-FFF2-40B4-BE49-F238E27FC236}">
                  <a16:creationId xmlns:a16="http://schemas.microsoft.com/office/drawing/2014/main" id="{5FBBA137-5CD5-46BE-ADD1-A42C208373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4024BD">
        <w:rPr>
          <w:rFonts w:ascii="Arial" w:hAnsi="Arial" w:cs="Arial"/>
          <w:i/>
          <w:color w:val="000000"/>
          <w:shd w:val="clear" w:color="auto" w:fill="FFFFFF"/>
          <w:lang w:val="mn-MN"/>
        </w:rPr>
        <w:t xml:space="preserve">    </w:t>
      </w:r>
      <w:r w:rsidRPr="004024BD">
        <w:rPr>
          <w:rFonts w:ascii="Arial" w:hAnsi="Arial" w:cs="Arial"/>
          <w:i/>
          <w:color w:val="000000"/>
          <w:shd w:val="clear" w:color="auto" w:fill="FFFFFF"/>
          <w:lang w:val="mn-MN"/>
        </w:rPr>
        <w:tab/>
        <w:t xml:space="preserve">График №4: Монгол Улсын Засгийн газрын зээлжих зэрэглэл, 2016-2021 </w:t>
      </w:r>
      <w:r w:rsidRPr="004024BD">
        <w:rPr>
          <w:rFonts w:ascii="Arial" w:hAnsi="Arial" w:cs="Arial"/>
          <w:color w:val="000000"/>
          <w:shd w:val="clear" w:color="auto" w:fill="FFFFFF"/>
          <w:lang w:val="mn-MN"/>
        </w:rPr>
        <w:t>он</w:t>
      </w:r>
      <w:r w:rsidRPr="004024BD">
        <w:rPr>
          <w:rFonts w:ascii="Arial" w:hAnsi="Arial" w:cs="Arial"/>
          <w:i/>
          <w:color w:val="000000"/>
          <w:shd w:val="clear" w:color="auto" w:fill="FFFFFF"/>
          <w:lang w:val="mn-MN"/>
        </w:rPr>
        <w:t xml:space="preserve"> </w:t>
      </w:r>
    </w:p>
    <w:p w14:paraId="09C0F40D" w14:textId="77777777" w:rsidR="00EB07AB" w:rsidRPr="004024BD" w:rsidRDefault="00EB07AB" w:rsidP="00EB07AB">
      <w:pPr>
        <w:pStyle w:val="NoSpacing"/>
        <w:spacing w:after="0" w:line="240" w:lineRule="auto"/>
        <w:rPr>
          <w:rFonts w:ascii="Arial" w:hAnsi="Arial" w:cs="Arial"/>
          <w:i/>
        </w:rPr>
      </w:pPr>
      <w:r w:rsidRPr="004024BD">
        <w:rPr>
          <w:rFonts w:ascii="Arial" w:hAnsi="Arial" w:cs="Arial"/>
          <w:i/>
        </w:rPr>
        <w:tab/>
      </w:r>
      <w:r w:rsidRPr="004024BD">
        <w:rPr>
          <w:rFonts w:ascii="Arial" w:hAnsi="Arial" w:cs="Arial"/>
          <w:i/>
        </w:rPr>
        <w:tab/>
      </w:r>
      <w:r w:rsidRPr="004024BD">
        <w:rPr>
          <w:rFonts w:ascii="Arial" w:hAnsi="Arial" w:cs="Arial"/>
          <w:i/>
        </w:rPr>
        <w:tab/>
      </w:r>
      <w:r w:rsidRPr="004024BD">
        <w:rPr>
          <w:rFonts w:ascii="Arial" w:hAnsi="Arial" w:cs="Arial"/>
          <w:i/>
        </w:rPr>
        <w:tab/>
      </w:r>
      <w:r w:rsidRPr="004024BD">
        <w:rPr>
          <w:rFonts w:ascii="Arial" w:hAnsi="Arial" w:cs="Arial"/>
          <w:i/>
        </w:rPr>
        <w:tab/>
      </w:r>
      <w:r w:rsidRPr="004024BD">
        <w:rPr>
          <w:rFonts w:ascii="Arial" w:hAnsi="Arial" w:cs="Arial"/>
          <w:i/>
        </w:rPr>
        <w:tab/>
      </w:r>
      <w:r w:rsidRPr="004024BD">
        <w:rPr>
          <w:rFonts w:ascii="Arial" w:hAnsi="Arial" w:cs="Arial"/>
          <w:i/>
        </w:rPr>
        <w:tab/>
      </w:r>
      <w:r w:rsidRPr="004024BD">
        <w:rPr>
          <w:rFonts w:ascii="Arial" w:hAnsi="Arial" w:cs="Arial"/>
          <w:i/>
        </w:rPr>
        <w:tab/>
      </w:r>
      <w:r w:rsidRPr="004024BD">
        <w:rPr>
          <w:rFonts w:ascii="Arial" w:hAnsi="Arial" w:cs="Arial"/>
          <w:i/>
        </w:rPr>
        <w:tab/>
        <w:t xml:space="preserve">          Эх сурвалж: Сангийн яам</w:t>
      </w:r>
    </w:p>
    <w:p w14:paraId="4A5F5789" w14:textId="77777777" w:rsidR="00EB07AB" w:rsidRPr="004024BD" w:rsidRDefault="00EB07AB" w:rsidP="00EB07AB">
      <w:pPr>
        <w:pStyle w:val="NoSpacing"/>
        <w:spacing w:after="0" w:line="240" w:lineRule="auto"/>
        <w:rPr>
          <w:rFonts w:ascii="Arial" w:hAnsi="Arial" w:cs="Arial"/>
          <w:i/>
        </w:rPr>
      </w:pPr>
      <w:r w:rsidRPr="004024BD">
        <w:rPr>
          <w:rFonts w:ascii="Arial" w:hAnsi="Arial" w:cs="Arial"/>
          <w:i/>
        </w:rPr>
        <w:t xml:space="preserve"> </w:t>
      </w:r>
    </w:p>
    <w:p w14:paraId="46AE012E" w14:textId="77777777" w:rsidR="00EB07AB" w:rsidRPr="004024BD" w:rsidRDefault="00EB07AB" w:rsidP="00EB07AB">
      <w:pPr>
        <w:pStyle w:val="NoSpacing"/>
        <w:spacing w:after="0" w:line="240" w:lineRule="auto"/>
        <w:ind w:firstLine="720"/>
        <w:rPr>
          <w:rFonts w:ascii="Arial" w:hAnsi="Arial" w:cs="Arial"/>
          <w:b/>
          <w:sz w:val="24"/>
          <w:szCs w:val="24"/>
        </w:rPr>
      </w:pPr>
      <w:r w:rsidRPr="004024BD">
        <w:rPr>
          <w:rFonts w:ascii="Arial" w:hAnsi="Arial" w:cs="Arial"/>
          <w:b/>
          <w:sz w:val="24"/>
          <w:szCs w:val="24"/>
        </w:rPr>
        <w:t>1.2.3.Гадаад зээл</w:t>
      </w:r>
    </w:p>
    <w:p w14:paraId="1C701675" w14:textId="77777777" w:rsidR="00EB07AB" w:rsidRPr="004024BD" w:rsidRDefault="00EB07AB" w:rsidP="00EB07AB">
      <w:pPr>
        <w:pStyle w:val="NoSpacing"/>
        <w:spacing w:after="0" w:line="240" w:lineRule="auto"/>
        <w:ind w:firstLine="720"/>
        <w:rPr>
          <w:rFonts w:ascii="Arial" w:hAnsi="Arial" w:cs="Arial"/>
          <w:b/>
          <w:sz w:val="24"/>
          <w:szCs w:val="24"/>
        </w:rPr>
      </w:pPr>
    </w:p>
    <w:p w14:paraId="131A4AB1" w14:textId="77777777" w:rsidR="00EB07AB" w:rsidRPr="004024BD" w:rsidRDefault="00EB07AB" w:rsidP="00EB07AB">
      <w:pPr>
        <w:pStyle w:val="NoSpacing"/>
        <w:spacing w:after="0" w:line="240" w:lineRule="auto"/>
        <w:ind w:firstLine="720"/>
        <w:rPr>
          <w:rFonts w:ascii="Arial" w:hAnsi="Arial" w:cs="Arial"/>
          <w:sz w:val="24"/>
          <w:szCs w:val="24"/>
        </w:rPr>
      </w:pPr>
      <w:r w:rsidRPr="004024BD">
        <w:rPr>
          <w:rFonts w:ascii="Arial" w:eastAsia="Times New Roman" w:hAnsi="Arial" w:cs="Arial"/>
          <w:sz w:val="24"/>
          <w:szCs w:val="24"/>
        </w:rPr>
        <w:t xml:space="preserve">Монгол Улсын Засгийн газар 1991 оноос Дэлхийн банк, Азийн хөгжлийн банкны гишүүнээр элсэн орсноос хойш олон талт болон хоёр талт зээлдүүлэгчдээс хөнгөлөлттэй нөхцөлтэй зээл, тусламж, техник туслалцааг авч ашиглаж ирсэн.  Ингэснээр 2021 оны жилийн эцэст нийт гадаад зээлийн </w:t>
      </w:r>
      <w:r w:rsidRPr="004024BD">
        <w:rPr>
          <w:rFonts w:ascii="Arial" w:hAnsi="Arial" w:cs="Arial"/>
          <w:sz w:val="24"/>
          <w:szCs w:val="24"/>
        </w:rPr>
        <w:t xml:space="preserve">үлдэгдэл 16,517.7 тэрбум төгрөгтэй тэнцэж байна. Энэ нь Засгийн газрын нийт өрийн багцын 60.7 хувьтай тэнцэх </w:t>
      </w:r>
      <w:r w:rsidRPr="004024BD">
        <w:rPr>
          <w:rFonts w:ascii="Arial" w:hAnsi="Arial" w:cs="Arial"/>
          <w:sz w:val="24"/>
          <w:szCs w:val="24"/>
        </w:rPr>
        <w:lastRenderedPageBreak/>
        <w:t>хэмжээний дүн юм. Олон улсын банк, санхүүгийн байгууллага, түншлэгч орнуудаас  олгосон хөнгөлөлттэй зээлийн хөрөнгөөр хэрэгжүүлж байгаа 92 төсөл, хөтөлбөрийн хүрээнд 2021 онд нийт 1,391.4 тэрбум төгрөгийг авч ашигласнаас 285.0 тэрбум төгрөгийг төсвийн дэмжлэгийн зориулалтаар, 1,106.4 тэрбум төгрөгийг төсөл, хөтөлбөр хэрэгжүүлэх зориулалтаар авч ашиглажээ.</w:t>
      </w:r>
    </w:p>
    <w:p w14:paraId="72B02703" w14:textId="77777777" w:rsidR="00EB07AB" w:rsidRPr="004024BD" w:rsidRDefault="00EB07AB" w:rsidP="00EB07AB">
      <w:pPr>
        <w:pStyle w:val="NoSpacing"/>
        <w:spacing w:after="0" w:line="240" w:lineRule="auto"/>
        <w:ind w:firstLine="720"/>
      </w:pPr>
    </w:p>
    <w:p w14:paraId="6AD59F90" w14:textId="77777777" w:rsidR="00EB07AB" w:rsidRPr="004024BD" w:rsidRDefault="00EB07AB" w:rsidP="00EB07AB">
      <w:pPr>
        <w:spacing w:after="0" w:line="240" w:lineRule="auto"/>
        <w:rPr>
          <w:rFonts w:ascii="Arial" w:hAnsi="Arial" w:cs="Arial"/>
          <w:i/>
          <w:lang w:val="mn-MN"/>
        </w:rPr>
      </w:pPr>
      <w:r w:rsidRPr="004024BD">
        <w:rPr>
          <w:rFonts w:ascii="Arial" w:hAnsi="Arial" w:cs="Arial"/>
          <w:i/>
          <w:lang w:val="mn-MN"/>
        </w:rPr>
        <w:t xml:space="preserve">       </w:t>
      </w:r>
      <w:r w:rsidRPr="004024BD">
        <w:rPr>
          <w:rFonts w:ascii="Arial" w:hAnsi="Arial" w:cs="Arial"/>
          <w:i/>
          <w:lang w:val="mn-MN"/>
        </w:rPr>
        <w:tab/>
        <w:t xml:space="preserve">Хүснэгт №4: Гадаад зээлийн ашиглалт, 2019-2021 он </w:t>
      </w:r>
      <w:r w:rsidRPr="004024BD">
        <w:rPr>
          <w:rFonts w:ascii="Arial" w:hAnsi="Arial" w:cs="Arial"/>
          <w:i/>
          <w:lang w:val="mn-MN"/>
        </w:rPr>
        <w:tab/>
      </w:r>
      <w:r w:rsidRPr="004024BD">
        <w:rPr>
          <w:rFonts w:ascii="Arial" w:hAnsi="Arial" w:cs="Arial"/>
          <w:i/>
          <w:lang w:val="mn-MN"/>
        </w:rPr>
        <w:tab/>
      </w:r>
    </w:p>
    <w:p w14:paraId="205752B9" w14:textId="77777777" w:rsidR="00EB07AB" w:rsidRPr="004024BD" w:rsidRDefault="00EB07AB" w:rsidP="00EB07AB">
      <w:pPr>
        <w:spacing w:after="0" w:line="240" w:lineRule="auto"/>
        <w:ind w:left="6480" w:firstLine="720"/>
        <w:rPr>
          <w:rFonts w:ascii="Arial" w:hAnsi="Arial" w:cs="Arial"/>
          <w:i/>
          <w:lang w:val="mn-MN"/>
        </w:rPr>
      </w:pPr>
      <w:r w:rsidRPr="004024BD">
        <w:rPr>
          <w:rFonts w:ascii="Arial" w:hAnsi="Arial" w:cs="Arial"/>
          <w:i/>
          <w:lang w:val="mn-MN"/>
        </w:rPr>
        <w:t xml:space="preserve">          /тэрбум төгрөг/</w:t>
      </w:r>
    </w:p>
    <w:tbl>
      <w:tblPr>
        <w:tblW w:w="9136" w:type="dxa"/>
        <w:tblInd w:w="445" w:type="dxa"/>
        <w:tblLook w:val="04A0" w:firstRow="1" w:lastRow="0" w:firstColumn="1" w:lastColumn="0" w:noHBand="0" w:noVBand="1"/>
      </w:tblPr>
      <w:tblGrid>
        <w:gridCol w:w="3257"/>
        <w:gridCol w:w="1957"/>
        <w:gridCol w:w="2089"/>
        <w:gridCol w:w="1833"/>
      </w:tblGrid>
      <w:tr w:rsidR="00EB07AB" w:rsidRPr="004024BD" w14:paraId="5F450790" w14:textId="77777777" w:rsidTr="00FD3D1D">
        <w:trPr>
          <w:trHeight w:val="158"/>
        </w:trPr>
        <w:tc>
          <w:tcPr>
            <w:tcW w:w="3257" w:type="dxa"/>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center"/>
            <w:hideMark/>
          </w:tcPr>
          <w:p w14:paraId="510D3CFA" w14:textId="77777777" w:rsidR="00EB07AB" w:rsidRPr="004024BD" w:rsidRDefault="00EB07AB" w:rsidP="00FD3D1D">
            <w:pPr>
              <w:spacing w:after="0" w:line="240" w:lineRule="auto"/>
              <w:jc w:val="center"/>
              <w:rPr>
                <w:rFonts w:ascii="Arial" w:eastAsia="Times New Roman" w:hAnsi="Arial" w:cs="Arial"/>
                <w:b/>
                <w:sz w:val="20"/>
                <w:szCs w:val="20"/>
                <w:lang w:val="mn-MN"/>
              </w:rPr>
            </w:pPr>
            <w:r w:rsidRPr="004024BD">
              <w:rPr>
                <w:rFonts w:ascii="Arial" w:eastAsia="Times New Roman" w:hAnsi="Arial" w:cs="Arial"/>
                <w:b/>
                <w:sz w:val="20"/>
                <w:szCs w:val="20"/>
                <w:lang w:val="mn-MN"/>
              </w:rPr>
              <w:t>Төрөл</w:t>
            </w:r>
          </w:p>
        </w:tc>
        <w:tc>
          <w:tcPr>
            <w:tcW w:w="1957" w:type="dxa"/>
            <w:tcBorders>
              <w:top w:val="single" w:sz="4" w:space="0" w:color="auto"/>
              <w:left w:val="nil"/>
              <w:bottom w:val="single" w:sz="4" w:space="0" w:color="auto"/>
              <w:right w:val="single" w:sz="4" w:space="0" w:color="auto"/>
            </w:tcBorders>
            <w:shd w:val="clear" w:color="auto" w:fill="1F3864" w:themeFill="accent1" w:themeFillShade="80"/>
            <w:noWrap/>
            <w:vAlign w:val="center"/>
            <w:hideMark/>
          </w:tcPr>
          <w:p w14:paraId="03E91E63" w14:textId="77777777" w:rsidR="00EB07AB" w:rsidRPr="004024BD" w:rsidRDefault="00EB07AB" w:rsidP="00FD3D1D">
            <w:pPr>
              <w:spacing w:after="0" w:line="240" w:lineRule="auto"/>
              <w:jc w:val="center"/>
              <w:rPr>
                <w:rFonts w:ascii="Arial" w:eastAsia="Times New Roman" w:hAnsi="Arial" w:cs="Arial"/>
                <w:b/>
                <w:sz w:val="20"/>
                <w:szCs w:val="20"/>
                <w:lang w:val="mn-MN"/>
              </w:rPr>
            </w:pPr>
            <w:r w:rsidRPr="004024BD">
              <w:rPr>
                <w:rFonts w:ascii="Arial" w:eastAsia="Times New Roman" w:hAnsi="Arial" w:cs="Arial"/>
                <w:b/>
                <w:sz w:val="20"/>
                <w:szCs w:val="20"/>
                <w:lang w:val="mn-MN"/>
              </w:rPr>
              <w:t>2019</w:t>
            </w:r>
          </w:p>
        </w:tc>
        <w:tc>
          <w:tcPr>
            <w:tcW w:w="2089" w:type="dxa"/>
            <w:tcBorders>
              <w:top w:val="single" w:sz="4" w:space="0" w:color="auto"/>
              <w:left w:val="nil"/>
              <w:bottom w:val="single" w:sz="4" w:space="0" w:color="auto"/>
              <w:right w:val="single" w:sz="4" w:space="0" w:color="auto"/>
            </w:tcBorders>
            <w:shd w:val="clear" w:color="auto" w:fill="1F3864" w:themeFill="accent1" w:themeFillShade="80"/>
            <w:noWrap/>
            <w:vAlign w:val="center"/>
            <w:hideMark/>
          </w:tcPr>
          <w:p w14:paraId="213F6E18" w14:textId="77777777" w:rsidR="00EB07AB" w:rsidRPr="004024BD" w:rsidRDefault="00EB07AB" w:rsidP="00FD3D1D">
            <w:pPr>
              <w:spacing w:after="0" w:line="240" w:lineRule="auto"/>
              <w:jc w:val="center"/>
              <w:rPr>
                <w:rFonts w:ascii="Arial" w:eastAsia="Times New Roman" w:hAnsi="Arial" w:cs="Arial"/>
                <w:b/>
                <w:sz w:val="20"/>
                <w:szCs w:val="20"/>
                <w:lang w:val="mn-MN"/>
              </w:rPr>
            </w:pPr>
            <w:r w:rsidRPr="004024BD">
              <w:rPr>
                <w:rFonts w:ascii="Arial" w:eastAsia="Times New Roman" w:hAnsi="Arial" w:cs="Arial"/>
                <w:b/>
                <w:sz w:val="20"/>
                <w:szCs w:val="20"/>
                <w:lang w:val="mn-MN"/>
              </w:rPr>
              <w:t>2020</w:t>
            </w:r>
          </w:p>
        </w:tc>
        <w:tc>
          <w:tcPr>
            <w:tcW w:w="1833" w:type="dxa"/>
            <w:tcBorders>
              <w:top w:val="single" w:sz="4" w:space="0" w:color="auto"/>
              <w:left w:val="nil"/>
              <w:bottom w:val="single" w:sz="4" w:space="0" w:color="auto"/>
              <w:right w:val="single" w:sz="4" w:space="0" w:color="auto"/>
            </w:tcBorders>
            <w:shd w:val="clear" w:color="auto" w:fill="1F3864" w:themeFill="accent1" w:themeFillShade="80"/>
            <w:noWrap/>
            <w:vAlign w:val="center"/>
            <w:hideMark/>
          </w:tcPr>
          <w:p w14:paraId="196F560E" w14:textId="77777777" w:rsidR="00EB07AB" w:rsidRPr="004024BD" w:rsidRDefault="00EB07AB" w:rsidP="00FD3D1D">
            <w:pPr>
              <w:spacing w:after="0" w:line="240" w:lineRule="auto"/>
              <w:jc w:val="center"/>
              <w:rPr>
                <w:rFonts w:ascii="Arial" w:eastAsia="Times New Roman" w:hAnsi="Arial" w:cs="Arial"/>
                <w:b/>
                <w:sz w:val="20"/>
                <w:szCs w:val="20"/>
                <w:lang w:val="mn-MN"/>
              </w:rPr>
            </w:pPr>
            <w:r w:rsidRPr="004024BD">
              <w:rPr>
                <w:rFonts w:ascii="Arial" w:eastAsia="Times New Roman" w:hAnsi="Arial" w:cs="Arial"/>
                <w:b/>
                <w:sz w:val="20"/>
                <w:szCs w:val="20"/>
                <w:lang w:val="mn-MN"/>
              </w:rPr>
              <w:t>2021</w:t>
            </w:r>
          </w:p>
        </w:tc>
      </w:tr>
      <w:tr w:rsidR="00EB07AB" w:rsidRPr="004024BD" w14:paraId="203471F4" w14:textId="77777777" w:rsidTr="00FD3D1D">
        <w:trPr>
          <w:trHeight w:val="208"/>
        </w:trPr>
        <w:tc>
          <w:tcPr>
            <w:tcW w:w="3257" w:type="dxa"/>
            <w:tcBorders>
              <w:top w:val="nil"/>
              <w:left w:val="single" w:sz="4" w:space="0" w:color="auto"/>
              <w:bottom w:val="single" w:sz="4" w:space="0" w:color="auto"/>
              <w:right w:val="single" w:sz="4" w:space="0" w:color="auto"/>
            </w:tcBorders>
            <w:shd w:val="clear" w:color="auto" w:fill="auto"/>
            <w:vAlign w:val="center"/>
            <w:hideMark/>
          </w:tcPr>
          <w:p w14:paraId="76400D28" w14:textId="77777777" w:rsidR="00EB07AB" w:rsidRPr="004024BD" w:rsidRDefault="00EB07AB" w:rsidP="00FD3D1D">
            <w:pPr>
              <w:spacing w:after="0" w:line="240" w:lineRule="auto"/>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Хөтөлбөрийн зээл</w:t>
            </w:r>
          </w:p>
        </w:tc>
        <w:tc>
          <w:tcPr>
            <w:tcW w:w="1957" w:type="dxa"/>
            <w:tcBorders>
              <w:top w:val="nil"/>
              <w:left w:val="nil"/>
              <w:bottom w:val="single" w:sz="4" w:space="0" w:color="auto"/>
              <w:right w:val="single" w:sz="4" w:space="0" w:color="auto"/>
            </w:tcBorders>
            <w:shd w:val="clear" w:color="auto" w:fill="auto"/>
            <w:noWrap/>
            <w:vAlign w:val="center"/>
            <w:hideMark/>
          </w:tcPr>
          <w:p w14:paraId="12459C50"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 xml:space="preserve">409.5 </w:t>
            </w:r>
          </w:p>
        </w:tc>
        <w:tc>
          <w:tcPr>
            <w:tcW w:w="2089" w:type="dxa"/>
            <w:tcBorders>
              <w:top w:val="nil"/>
              <w:left w:val="nil"/>
              <w:bottom w:val="single" w:sz="4" w:space="0" w:color="auto"/>
              <w:right w:val="single" w:sz="4" w:space="0" w:color="auto"/>
            </w:tcBorders>
            <w:shd w:val="clear" w:color="auto" w:fill="auto"/>
            <w:noWrap/>
            <w:vAlign w:val="center"/>
            <w:hideMark/>
          </w:tcPr>
          <w:p w14:paraId="138A6861"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 xml:space="preserve">1,978.1 </w:t>
            </w:r>
          </w:p>
        </w:tc>
        <w:tc>
          <w:tcPr>
            <w:tcW w:w="1833" w:type="dxa"/>
            <w:tcBorders>
              <w:top w:val="nil"/>
              <w:left w:val="nil"/>
              <w:bottom w:val="single" w:sz="4" w:space="0" w:color="auto"/>
              <w:right w:val="single" w:sz="4" w:space="0" w:color="auto"/>
            </w:tcBorders>
            <w:shd w:val="clear" w:color="auto" w:fill="auto"/>
            <w:noWrap/>
            <w:vAlign w:val="center"/>
            <w:hideMark/>
          </w:tcPr>
          <w:p w14:paraId="3FD3175F"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285.0</w:t>
            </w:r>
          </w:p>
        </w:tc>
      </w:tr>
      <w:tr w:rsidR="00EB07AB" w:rsidRPr="004024BD" w14:paraId="59851493" w14:textId="77777777" w:rsidTr="00FD3D1D">
        <w:trPr>
          <w:trHeight w:val="321"/>
        </w:trPr>
        <w:tc>
          <w:tcPr>
            <w:tcW w:w="3257" w:type="dxa"/>
            <w:tcBorders>
              <w:top w:val="nil"/>
              <w:left w:val="single" w:sz="4" w:space="0" w:color="auto"/>
              <w:bottom w:val="single" w:sz="4" w:space="0" w:color="auto"/>
              <w:right w:val="single" w:sz="4" w:space="0" w:color="auto"/>
            </w:tcBorders>
            <w:shd w:val="clear" w:color="auto" w:fill="auto"/>
            <w:noWrap/>
            <w:vAlign w:val="center"/>
            <w:hideMark/>
          </w:tcPr>
          <w:p w14:paraId="17045A56" w14:textId="77777777" w:rsidR="00EB07AB" w:rsidRPr="004024BD" w:rsidRDefault="00EB07AB" w:rsidP="00FD3D1D">
            <w:pPr>
              <w:spacing w:after="0" w:line="240" w:lineRule="auto"/>
              <w:rPr>
                <w:rFonts w:ascii="Arial" w:eastAsia="Times New Roman" w:hAnsi="Arial" w:cs="Arial"/>
                <w:sz w:val="20"/>
                <w:szCs w:val="20"/>
                <w:lang w:val="mn-MN"/>
              </w:rPr>
            </w:pPr>
            <w:r w:rsidRPr="004024BD">
              <w:rPr>
                <w:rFonts w:ascii="Arial" w:eastAsia="Times New Roman" w:hAnsi="Arial" w:cs="Arial"/>
                <w:sz w:val="20"/>
                <w:szCs w:val="20"/>
                <w:lang w:val="mn-MN"/>
              </w:rPr>
              <w:t>Төслийн зээл</w:t>
            </w:r>
          </w:p>
        </w:tc>
        <w:tc>
          <w:tcPr>
            <w:tcW w:w="1957" w:type="dxa"/>
            <w:tcBorders>
              <w:top w:val="nil"/>
              <w:left w:val="nil"/>
              <w:bottom w:val="single" w:sz="4" w:space="0" w:color="auto"/>
              <w:right w:val="single" w:sz="4" w:space="0" w:color="auto"/>
            </w:tcBorders>
            <w:shd w:val="clear" w:color="auto" w:fill="auto"/>
            <w:noWrap/>
            <w:vAlign w:val="center"/>
            <w:hideMark/>
          </w:tcPr>
          <w:p w14:paraId="1D0A4DAA"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 xml:space="preserve">1,229.1 </w:t>
            </w:r>
          </w:p>
        </w:tc>
        <w:tc>
          <w:tcPr>
            <w:tcW w:w="2089" w:type="dxa"/>
            <w:tcBorders>
              <w:top w:val="nil"/>
              <w:left w:val="nil"/>
              <w:bottom w:val="single" w:sz="4" w:space="0" w:color="auto"/>
              <w:right w:val="single" w:sz="4" w:space="0" w:color="auto"/>
            </w:tcBorders>
            <w:shd w:val="clear" w:color="auto" w:fill="auto"/>
            <w:noWrap/>
            <w:vAlign w:val="center"/>
            <w:hideMark/>
          </w:tcPr>
          <w:p w14:paraId="2F5243FB"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 xml:space="preserve">1,390.3 </w:t>
            </w:r>
          </w:p>
        </w:tc>
        <w:tc>
          <w:tcPr>
            <w:tcW w:w="1833" w:type="dxa"/>
            <w:tcBorders>
              <w:top w:val="nil"/>
              <w:left w:val="nil"/>
              <w:bottom w:val="single" w:sz="4" w:space="0" w:color="auto"/>
              <w:right w:val="single" w:sz="4" w:space="0" w:color="auto"/>
            </w:tcBorders>
            <w:shd w:val="clear" w:color="auto" w:fill="auto"/>
            <w:noWrap/>
            <w:vAlign w:val="center"/>
            <w:hideMark/>
          </w:tcPr>
          <w:p w14:paraId="0206CA21"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 xml:space="preserve">1,106.4 </w:t>
            </w:r>
          </w:p>
        </w:tc>
      </w:tr>
      <w:tr w:rsidR="00EB07AB" w:rsidRPr="004024BD" w14:paraId="2B4D2D0E" w14:textId="77777777" w:rsidTr="00FD3D1D">
        <w:trPr>
          <w:trHeight w:val="234"/>
        </w:trPr>
        <w:tc>
          <w:tcPr>
            <w:tcW w:w="3257" w:type="dxa"/>
            <w:tcBorders>
              <w:top w:val="nil"/>
              <w:left w:val="single" w:sz="4" w:space="0" w:color="auto"/>
              <w:bottom w:val="single" w:sz="4" w:space="0" w:color="auto"/>
              <w:right w:val="single" w:sz="4" w:space="0" w:color="auto"/>
            </w:tcBorders>
            <w:shd w:val="clear" w:color="auto" w:fill="auto"/>
            <w:noWrap/>
            <w:vAlign w:val="center"/>
            <w:hideMark/>
          </w:tcPr>
          <w:p w14:paraId="61733B45" w14:textId="77777777" w:rsidR="00EB07AB" w:rsidRPr="004024BD" w:rsidRDefault="00EB07AB" w:rsidP="00FD3D1D">
            <w:pPr>
              <w:spacing w:after="0" w:line="240" w:lineRule="auto"/>
              <w:jc w:val="center"/>
              <w:rPr>
                <w:rFonts w:ascii="Arial" w:eastAsia="Times New Roman" w:hAnsi="Arial" w:cs="Arial"/>
                <w:b/>
                <w:sz w:val="20"/>
                <w:szCs w:val="20"/>
                <w:lang w:val="mn-MN"/>
              </w:rPr>
            </w:pPr>
            <w:r w:rsidRPr="004024BD">
              <w:rPr>
                <w:rFonts w:ascii="Arial" w:eastAsia="Times New Roman" w:hAnsi="Arial" w:cs="Arial"/>
                <w:b/>
                <w:sz w:val="20"/>
                <w:szCs w:val="20"/>
                <w:lang w:val="mn-MN"/>
              </w:rPr>
              <w:t>НИЙТ</w:t>
            </w:r>
          </w:p>
        </w:tc>
        <w:tc>
          <w:tcPr>
            <w:tcW w:w="1957" w:type="dxa"/>
            <w:tcBorders>
              <w:top w:val="nil"/>
              <w:left w:val="nil"/>
              <w:bottom w:val="single" w:sz="4" w:space="0" w:color="auto"/>
              <w:right w:val="single" w:sz="4" w:space="0" w:color="auto"/>
            </w:tcBorders>
            <w:shd w:val="clear" w:color="auto" w:fill="auto"/>
            <w:noWrap/>
            <w:vAlign w:val="center"/>
            <w:hideMark/>
          </w:tcPr>
          <w:p w14:paraId="1CB5BE2E" w14:textId="77777777" w:rsidR="00EB07AB" w:rsidRPr="004024BD" w:rsidRDefault="00EB07AB" w:rsidP="00FD3D1D">
            <w:pPr>
              <w:spacing w:after="0" w:line="240" w:lineRule="auto"/>
              <w:jc w:val="right"/>
              <w:rPr>
                <w:rFonts w:ascii="Arial" w:eastAsia="Times New Roman" w:hAnsi="Arial" w:cs="Arial"/>
                <w:b/>
                <w:sz w:val="20"/>
                <w:szCs w:val="20"/>
                <w:lang w:val="mn-MN"/>
              </w:rPr>
            </w:pPr>
            <w:r w:rsidRPr="004024BD">
              <w:rPr>
                <w:rFonts w:ascii="Arial" w:eastAsia="Times New Roman" w:hAnsi="Arial" w:cs="Arial"/>
                <w:b/>
                <w:sz w:val="20"/>
                <w:szCs w:val="20"/>
                <w:lang w:val="mn-MN"/>
              </w:rPr>
              <w:t xml:space="preserve">1,638.6 </w:t>
            </w:r>
          </w:p>
        </w:tc>
        <w:tc>
          <w:tcPr>
            <w:tcW w:w="2089" w:type="dxa"/>
            <w:tcBorders>
              <w:top w:val="nil"/>
              <w:left w:val="nil"/>
              <w:bottom w:val="single" w:sz="4" w:space="0" w:color="auto"/>
              <w:right w:val="single" w:sz="4" w:space="0" w:color="auto"/>
            </w:tcBorders>
            <w:shd w:val="clear" w:color="auto" w:fill="auto"/>
            <w:noWrap/>
            <w:vAlign w:val="center"/>
            <w:hideMark/>
          </w:tcPr>
          <w:p w14:paraId="034DA4B6" w14:textId="77777777" w:rsidR="00EB07AB" w:rsidRPr="004024BD" w:rsidRDefault="00EB07AB" w:rsidP="00FD3D1D">
            <w:pPr>
              <w:spacing w:after="0" w:line="240" w:lineRule="auto"/>
              <w:jc w:val="right"/>
              <w:rPr>
                <w:rFonts w:ascii="Arial" w:eastAsia="Times New Roman" w:hAnsi="Arial" w:cs="Arial"/>
                <w:b/>
                <w:sz w:val="20"/>
                <w:szCs w:val="20"/>
                <w:lang w:val="mn-MN"/>
              </w:rPr>
            </w:pPr>
            <w:r w:rsidRPr="004024BD">
              <w:rPr>
                <w:rFonts w:ascii="Arial" w:eastAsia="Times New Roman" w:hAnsi="Arial" w:cs="Arial"/>
                <w:b/>
                <w:sz w:val="20"/>
                <w:szCs w:val="20"/>
                <w:lang w:val="mn-MN"/>
              </w:rPr>
              <w:t xml:space="preserve">3,368.4 </w:t>
            </w:r>
          </w:p>
        </w:tc>
        <w:tc>
          <w:tcPr>
            <w:tcW w:w="1833" w:type="dxa"/>
            <w:tcBorders>
              <w:top w:val="nil"/>
              <w:left w:val="nil"/>
              <w:bottom w:val="single" w:sz="4" w:space="0" w:color="auto"/>
              <w:right w:val="single" w:sz="4" w:space="0" w:color="auto"/>
            </w:tcBorders>
            <w:shd w:val="clear" w:color="auto" w:fill="auto"/>
            <w:noWrap/>
            <w:vAlign w:val="center"/>
            <w:hideMark/>
          </w:tcPr>
          <w:p w14:paraId="54B47DDB" w14:textId="77777777" w:rsidR="00EB07AB" w:rsidRPr="004024BD" w:rsidRDefault="00EB07AB" w:rsidP="00FD3D1D">
            <w:pPr>
              <w:spacing w:after="0" w:line="240" w:lineRule="auto"/>
              <w:jc w:val="right"/>
              <w:rPr>
                <w:rFonts w:ascii="Arial" w:eastAsia="Times New Roman" w:hAnsi="Arial" w:cs="Arial"/>
                <w:b/>
                <w:sz w:val="20"/>
                <w:szCs w:val="20"/>
                <w:lang w:val="mn-MN"/>
              </w:rPr>
            </w:pPr>
            <w:r w:rsidRPr="004024BD">
              <w:rPr>
                <w:rFonts w:ascii="Arial" w:eastAsia="Times New Roman" w:hAnsi="Arial" w:cs="Arial"/>
                <w:b/>
                <w:sz w:val="20"/>
                <w:szCs w:val="20"/>
                <w:lang w:val="mn-MN"/>
              </w:rPr>
              <w:t xml:space="preserve">1,391.4 </w:t>
            </w:r>
          </w:p>
        </w:tc>
      </w:tr>
    </w:tbl>
    <w:p w14:paraId="4AC62B2E" w14:textId="77777777" w:rsidR="00EB07AB" w:rsidRPr="004024BD" w:rsidRDefault="00EB07AB" w:rsidP="00EB07AB">
      <w:pPr>
        <w:spacing w:after="0" w:line="240" w:lineRule="auto"/>
        <w:jc w:val="both"/>
        <w:textAlignment w:val="baseline"/>
        <w:rPr>
          <w:rFonts w:ascii="Arial" w:hAnsi="Arial" w:cs="Arial"/>
          <w:i/>
          <w:lang w:val="mn-MN"/>
        </w:rPr>
      </w:pPr>
      <w:r w:rsidRPr="004024BD">
        <w:rPr>
          <w:rFonts w:ascii="Arial" w:hAnsi="Arial" w:cs="Arial"/>
          <w:i/>
          <w:lang w:val="mn-MN"/>
        </w:rPr>
        <w:t xml:space="preserve"> </w:t>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t xml:space="preserve">       Эх сурвалж: Сангийн яам</w:t>
      </w:r>
    </w:p>
    <w:p w14:paraId="2F736D49" w14:textId="77777777" w:rsidR="00EB07AB" w:rsidRPr="004024BD" w:rsidRDefault="00EB07AB" w:rsidP="00EB07AB">
      <w:pPr>
        <w:spacing w:after="0" w:line="240" w:lineRule="auto"/>
        <w:jc w:val="both"/>
        <w:textAlignment w:val="baseline"/>
        <w:rPr>
          <w:rFonts w:ascii="Arial" w:hAnsi="Arial" w:cs="Arial"/>
          <w:lang w:val="mn-MN"/>
        </w:rPr>
      </w:pPr>
    </w:p>
    <w:p w14:paraId="7A3460BC" w14:textId="77777777" w:rsidR="00EB07AB" w:rsidRPr="004024BD" w:rsidRDefault="00EB07AB" w:rsidP="00EB07AB">
      <w:pPr>
        <w:spacing w:after="0" w:line="240" w:lineRule="auto"/>
        <w:ind w:firstLine="709"/>
        <w:jc w:val="both"/>
        <w:textAlignment w:val="baseline"/>
        <w:rPr>
          <w:rFonts w:ascii="Arial" w:eastAsia="Times New Roman" w:hAnsi="Arial" w:cs="Arial"/>
          <w:sz w:val="24"/>
          <w:szCs w:val="24"/>
          <w:lang w:val="mn-MN"/>
        </w:rPr>
      </w:pPr>
      <w:r w:rsidRPr="004024BD">
        <w:rPr>
          <w:rFonts w:ascii="Arial" w:eastAsia="Times New Roman" w:hAnsi="Arial" w:cs="Arial"/>
          <w:sz w:val="24"/>
          <w:szCs w:val="24"/>
          <w:lang w:val="mn-MN"/>
        </w:rPr>
        <w:t>Монгол Улсын Засгийн газар олон улсын гэрээгээр хүлээсэн үүргээ бүрэн биелүүлж, 2021 онд гадаад зээлийн үйлчилгээний төлбөрт нийт 945.7 тэрбум төгрөгийг төлөхдөө үндсэн төлбөрт 732.8 тэрбум төгрөг, хүүгийн төлбөрт 212.9 тэрбум төгрөгийг тус тус төлсөн байна.</w:t>
      </w:r>
    </w:p>
    <w:p w14:paraId="466FF69F" w14:textId="77777777" w:rsidR="00EB07AB" w:rsidRPr="004024BD" w:rsidRDefault="00EB07AB" w:rsidP="00EB07AB">
      <w:pPr>
        <w:spacing w:after="0" w:line="240" w:lineRule="auto"/>
        <w:ind w:firstLine="709"/>
        <w:jc w:val="both"/>
        <w:textAlignment w:val="baseline"/>
        <w:rPr>
          <w:rFonts w:ascii="Arial" w:eastAsia="Times New Roman" w:hAnsi="Arial" w:cs="Arial"/>
          <w:sz w:val="24"/>
          <w:szCs w:val="24"/>
          <w:lang w:val="mn-MN"/>
        </w:rPr>
      </w:pPr>
    </w:p>
    <w:p w14:paraId="50550202" w14:textId="77777777" w:rsidR="00EB07AB" w:rsidRPr="004024BD" w:rsidRDefault="00EB07AB" w:rsidP="00EB07AB">
      <w:pPr>
        <w:spacing w:after="0" w:line="240" w:lineRule="auto"/>
        <w:jc w:val="both"/>
        <w:textAlignment w:val="baseline"/>
        <w:rPr>
          <w:rFonts w:ascii="Arial" w:hAnsi="Arial" w:cs="Arial"/>
          <w:i/>
          <w:lang w:val="mn-MN"/>
        </w:rPr>
      </w:pPr>
      <w:r w:rsidRPr="004024BD">
        <w:rPr>
          <w:rFonts w:ascii="Arial" w:hAnsi="Arial" w:cs="Arial"/>
          <w:i/>
          <w:lang w:val="mn-MN"/>
        </w:rPr>
        <w:t xml:space="preserve">       </w:t>
      </w:r>
      <w:r w:rsidRPr="004024BD">
        <w:rPr>
          <w:rFonts w:ascii="Arial" w:hAnsi="Arial" w:cs="Arial"/>
          <w:i/>
          <w:lang w:val="mn-MN"/>
        </w:rPr>
        <w:tab/>
        <w:t xml:space="preserve">Хүснэгт №5: Гадаад зээлийн үйлчилгээ, 2019-2021 </w:t>
      </w:r>
      <w:r w:rsidRPr="004024BD">
        <w:rPr>
          <w:rFonts w:ascii="Arial" w:hAnsi="Arial" w:cs="Arial"/>
          <w:i/>
          <w:iCs/>
          <w:lang w:val="mn-MN"/>
        </w:rPr>
        <w:t>он</w:t>
      </w:r>
    </w:p>
    <w:p w14:paraId="683AF52B" w14:textId="77777777" w:rsidR="00EB07AB" w:rsidRPr="004024BD" w:rsidRDefault="00EB07AB" w:rsidP="00EB07AB">
      <w:pPr>
        <w:spacing w:after="0" w:line="240" w:lineRule="auto"/>
        <w:jc w:val="both"/>
        <w:textAlignment w:val="baseline"/>
        <w:rPr>
          <w:rFonts w:ascii="Arial" w:eastAsia="Times New Roman" w:hAnsi="Arial" w:cs="Arial"/>
          <w:lang w:val="mn-MN"/>
        </w:rPr>
      </w:pP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t xml:space="preserve">          /тэрбум.төгрөг/</w:t>
      </w:r>
    </w:p>
    <w:tbl>
      <w:tblPr>
        <w:tblW w:w="913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990"/>
        <w:gridCol w:w="1990"/>
        <w:gridCol w:w="1899"/>
      </w:tblGrid>
      <w:tr w:rsidR="00EB07AB" w:rsidRPr="004024BD" w14:paraId="52331662" w14:textId="77777777" w:rsidTr="00FD3D1D">
        <w:trPr>
          <w:trHeight w:val="267"/>
        </w:trPr>
        <w:tc>
          <w:tcPr>
            <w:tcW w:w="3256" w:type="dxa"/>
            <w:shd w:val="clear" w:color="auto" w:fill="1F3864" w:themeFill="accent1" w:themeFillShade="80"/>
            <w:noWrap/>
            <w:vAlign w:val="center"/>
            <w:hideMark/>
          </w:tcPr>
          <w:p w14:paraId="38DC68C9" w14:textId="77777777" w:rsidR="00EB07AB" w:rsidRPr="004024BD" w:rsidRDefault="00EB07AB" w:rsidP="00FD3D1D">
            <w:pPr>
              <w:spacing w:after="0" w:line="240" w:lineRule="auto"/>
              <w:jc w:val="center"/>
              <w:rPr>
                <w:rFonts w:ascii="Arial" w:eastAsia="Times New Roman" w:hAnsi="Arial" w:cs="Arial"/>
                <w:b/>
                <w:color w:val="FFFFFF" w:themeColor="background1"/>
                <w:sz w:val="20"/>
                <w:szCs w:val="20"/>
                <w:lang w:val="mn-MN"/>
              </w:rPr>
            </w:pPr>
            <w:r w:rsidRPr="004024BD">
              <w:rPr>
                <w:rFonts w:ascii="Arial" w:eastAsia="Times New Roman" w:hAnsi="Arial" w:cs="Arial"/>
                <w:b/>
                <w:color w:val="FFFFFF" w:themeColor="background1"/>
                <w:sz w:val="20"/>
                <w:szCs w:val="20"/>
                <w:lang w:val="mn-MN"/>
              </w:rPr>
              <w:t>Төрөл</w:t>
            </w:r>
          </w:p>
        </w:tc>
        <w:tc>
          <w:tcPr>
            <w:tcW w:w="1990" w:type="dxa"/>
            <w:shd w:val="clear" w:color="auto" w:fill="1F3864" w:themeFill="accent1" w:themeFillShade="80"/>
            <w:noWrap/>
            <w:vAlign w:val="center"/>
            <w:hideMark/>
          </w:tcPr>
          <w:p w14:paraId="7AACABA7" w14:textId="77777777" w:rsidR="00EB07AB" w:rsidRPr="004024BD" w:rsidRDefault="00EB07AB" w:rsidP="00FD3D1D">
            <w:pPr>
              <w:spacing w:after="0" w:line="240" w:lineRule="auto"/>
              <w:jc w:val="center"/>
              <w:rPr>
                <w:rFonts w:ascii="Arial" w:eastAsia="Times New Roman" w:hAnsi="Arial" w:cs="Arial"/>
                <w:b/>
                <w:color w:val="FFFFFF" w:themeColor="background1"/>
                <w:sz w:val="20"/>
                <w:szCs w:val="20"/>
                <w:lang w:val="mn-MN"/>
              </w:rPr>
            </w:pPr>
            <w:r w:rsidRPr="004024BD">
              <w:rPr>
                <w:rFonts w:ascii="Arial" w:eastAsia="Times New Roman" w:hAnsi="Arial" w:cs="Arial"/>
                <w:b/>
                <w:color w:val="FFFFFF" w:themeColor="background1"/>
                <w:sz w:val="20"/>
                <w:szCs w:val="20"/>
                <w:lang w:val="mn-MN"/>
              </w:rPr>
              <w:t>2019</w:t>
            </w:r>
          </w:p>
        </w:tc>
        <w:tc>
          <w:tcPr>
            <w:tcW w:w="1990" w:type="dxa"/>
            <w:shd w:val="clear" w:color="auto" w:fill="1F3864" w:themeFill="accent1" w:themeFillShade="80"/>
            <w:noWrap/>
            <w:vAlign w:val="center"/>
            <w:hideMark/>
          </w:tcPr>
          <w:p w14:paraId="4D420E31" w14:textId="77777777" w:rsidR="00EB07AB" w:rsidRPr="004024BD" w:rsidRDefault="00EB07AB" w:rsidP="00FD3D1D">
            <w:pPr>
              <w:spacing w:after="0" w:line="240" w:lineRule="auto"/>
              <w:jc w:val="center"/>
              <w:rPr>
                <w:rFonts w:ascii="Arial" w:eastAsia="Times New Roman" w:hAnsi="Arial" w:cs="Arial"/>
                <w:b/>
                <w:color w:val="FFFFFF" w:themeColor="background1"/>
                <w:sz w:val="20"/>
                <w:szCs w:val="20"/>
                <w:lang w:val="mn-MN"/>
              </w:rPr>
            </w:pPr>
            <w:r w:rsidRPr="004024BD">
              <w:rPr>
                <w:rFonts w:ascii="Arial" w:eastAsia="Times New Roman" w:hAnsi="Arial" w:cs="Arial"/>
                <w:b/>
                <w:color w:val="FFFFFF" w:themeColor="background1"/>
                <w:sz w:val="20"/>
                <w:szCs w:val="20"/>
                <w:lang w:val="mn-MN"/>
              </w:rPr>
              <w:t>2020</w:t>
            </w:r>
          </w:p>
        </w:tc>
        <w:tc>
          <w:tcPr>
            <w:tcW w:w="1899" w:type="dxa"/>
            <w:shd w:val="clear" w:color="auto" w:fill="1F3864" w:themeFill="accent1" w:themeFillShade="80"/>
            <w:noWrap/>
            <w:vAlign w:val="center"/>
            <w:hideMark/>
          </w:tcPr>
          <w:p w14:paraId="7A27569F" w14:textId="77777777" w:rsidR="00EB07AB" w:rsidRPr="004024BD" w:rsidRDefault="00EB07AB" w:rsidP="00FD3D1D">
            <w:pPr>
              <w:spacing w:after="0" w:line="240" w:lineRule="auto"/>
              <w:jc w:val="center"/>
              <w:rPr>
                <w:rFonts w:ascii="Arial" w:eastAsia="Times New Roman" w:hAnsi="Arial" w:cs="Arial"/>
                <w:b/>
                <w:color w:val="FFFFFF" w:themeColor="background1"/>
                <w:sz w:val="20"/>
                <w:szCs w:val="20"/>
                <w:lang w:val="mn-MN"/>
              </w:rPr>
            </w:pPr>
            <w:r w:rsidRPr="004024BD">
              <w:rPr>
                <w:rFonts w:ascii="Arial" w:eastAsia="Times New Roman" w:hAnsi="Arial" w:cs="Arial"/>
                <w:b/>
                <w:color w:val="FFFFFF" w:themeColor="background1"/>
                <w:sz w:val="20"/>
                <w:szCs w:val="20"/>
                <w:lang w:val="mn-MN"/>
              </w:rPr>
              <w:t>2021</w:t>
            </w:r>
          </w:p>
        </w:tc>
      </w:tr>
      <w:tr w:rsidR="00EB07AB" w:rsidRPr="004024BD" w14:paraId="218A14E5" w14:textId="77777777" w:rsidTr="00FD3D1D">
        <w:trPr>
          <w:trHeight w:val="276"/>
        </w:trPr>
        <w:tc>
          <w:tcPr>
            <w:tcW w:w="3256" w:type="dxa"/>
            <w:shd w:val="clear" w:color="auto" w:fill="auto"/>
            <w:vAlign w:val="center"/>
            <w:hideMark/>
          </w:tcPr>
          <w:p w14:paraId="0CEE9AED" w14:textId="77777777" w:rsidR="00EB07AB" w:rsidRPr="004024BD" w:rsidRDefault="00EB07AB" w:rsidP="00FD3D1D">
            <w:pPr>
              <w:spacing w:after="0" w:line="240" w:lineRule="auto"/>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Үндсэн төлбөр</w:t>
            </w:r>
          </w:p>
        </w:tc>
        <w:tc>
          <w:tcPr>
            <w:tcW w:w="1990" w:type="dxa"/>
            <w:shd w:val="clear" w:color="auto" w:fill="auto"/>
            <w:noWrap/>
            <w:vAlign w:val="center"/>
            <w:hideMark/>
          </w:tcPr>
          <w:p w14:paraId="38BA2A19"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hAnsi="Arial" w:cs="Arial"/>
                <w:sz w:val="20"/>
                <w:szCs w:val="20"/>
                <w:lang w:val="mn-MN"/>
              </w:rPr>
              <w:t>438.3</w:t>
            </w:r>
          </w:p>
        </w:tc>
        <w:tc>
          <w:tcPr>
            <w:tcW w:w="1990" w:type="dxa"/>
            <w:shd w:val="clear" w:color="auto" w:fill="auto"/>
            <w:noWrap/>
            <w:vAlign w:val="center"/>
            <w:hideMark/>
          </w:tcPr>
          <w:p w14:paraId="58EDDD2B"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hAnsi="Arial" w:cs="Arial"/>
                <w:sz w:val="20"/>
                <w:szCs w:val="20"/>
                <w:lang w:val="mn-MN"/>
              </w:rPr>
              <w:t>691.0</w:t>
            </w:r>
          </w:p>
        </w:tc>
        <w:tc>
          <w:tcPr>
            <w:tcW w:w="1899" w:type="dxa"/>
            <w:shd w:val="clear" w:color="auto" w:fill="auto"/>
            <w:noWrap/>
            <w:vAlign w:val="center"/>
            <w:hideMark/>
          </w:tcPr>
          <w:p w14:paraId="384A9D87"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hAnsi="Arial" w:cs="Arial"/>
                <w:sz w:val="20"/>
                <w:szCs w:val="20"/>
                <w:lang w:val="mn-MN"/>
              </w:rPr>
              <w:t>732.8</w:t>
            </w:r>
          </w:p>
        </w:tc>
      </w:tr>
      <w:tr w:rsidR="00EB07AB" w:rsidRPr="004024BD" w14:paraId="19D83A76" w14:textId="77777777" w:rsidTr="00FD3D1D">
        <w:trPr>
          <w:trHeight w:val="276"/>
        </w:trPr>
        <w:tc>
          <w:tcPr>
            <w:tcW w:w="3256" w:type="dxa"/>
            <w:tcBorders>
              <w:bottom w:val="single" w:sz="4" w:space="0" w:color="auto"/>
            </w:tcBorders>
            <w:shd w:val="clear" w:color="auto" w:fill="auto"/>
            <w:noWrap/>
            <w:vAlign w:val="center"/>
            <w:hideMark/>
          </w:tcPr>
          <w:p w14:paraId="4950484B" w14:textId="77777777" w:rsidR="00EB07AB" w:rsidRPr="004024BD" w:rsidRDefault="00EB07AB" w:rsidP="00FD3D1D">
            <w:pPr>
              <w:spacing w:after="0" w:line="240" w:lineRule="auto"/>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Хүүгийн төлбөр</w:t>
            </w:r>
          </w:p>
        </w:tc>
        <w:tc>
          <w:tcPr>
            <w:tcW w:w="1990" w:type="dxa"/>
            <w:tcBorders>
              <w:bottom w:val="single" w:sz="4" w:space="0" w:color="auto"/>
            </w:tcBorders>
            <w:shd w:val="clear" w:color="auto" w:fill="auto"/>
            <w:noWrap/>
            <w:vAlign w:val="center"/>
            <w:hideMark/>
          </w:tcPr>
          <w:p w14:paraId="27F23A71"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hAnsi="Arial" w:cs="Arial"/>
                <w:sz w:val="20"/>
                <w:szCs w:val="20"/>
                <w:lang w:val="mn-MN"/>
              </w:rPr>
              <w:t>167.5</w:t>
            </w:r>
          </w:p>
        </w:tc>
        <w:tc>
          <w:tcPr>
            <w:tcW w:w="1990" w:type="dxa"/>
            <w:tcBorders>
              <w:bottom w:val="single" w:sz="4" w:space="0" w:color="auto"/>
            </w:tcBorders>
            <w:shd w:val="clear" w:color="auto" w:fill="auto"/>
            <w:noWrap/>
            <w:vAlign w:val="center"/>
            <w:hideMark/>
          </w:tcPr>
          <w:p w14:paraId="12B8C8AF"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hAnsi="Arial" w:cs="Arial"/>
                <w:sz w:val="20"/>
                <w:szCs w:val="20"/>
                <w:lang w:val="mn-MN"/>
              </w:rPr>
              <w:t>197.9</w:t>
            </w:r>
          </w:p>
        </w:tc>
        <w:tc>
          <w:tcPr>
            <w:tcW w:w="1899" w:type="dxa"/>
            <w:tcBorders>
              <w:bottom w:val="single" w:sz="4" w:space="0" w:color="auto"/>
            </w:tcBorders>
            <w:shd w:val="clear" w:color="auto" w:fill="auto"/>
            <w:noWrap/>
            <w:vAlign w:val="center"/>
            <w:hideMark/>
          </w:tcPr>
          <w:p w14:paraId="55F7ADED"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hAnsi="Arial" w:cs="Arial"/>
                <w:sz w:val="20"/>
                <w:szCs w:val="20"/>
                <w:lang w:val="mn-MN"/>
              </w:rPr>
              <w:t>212.9</w:t>
            </w:r>
          </w:p>
        </w:tc>
      </w:tr>
      <w:tr w:rsidR="00EB07AB" w:rsidRPr="004024BD" w14:paraId="24C559CC" w14:textId="77777777" w:rsidTr="00FD3D1D">
        <w:trPr>
          <w:trHeight w:val="267"/>
        </w:trPr>
        <w:tc>
          <w:tcPr>
            <w:tcW w:w="3256" w:type="dxa"/>
            <w:tcBorders>
              <w:bottom w:val="single" w:sz="4" w:space="0" w:color="auto"/>
            </w:tcBorders>
            <w:shd w:val="clear" w:color="auto" w:fill="auto"/>
            <w:noWrap/>
            <w:vAlign w:val="center"/>
            <w:hideMark/>
          </w:tcPr>
          <w:p w14:paraId="174780C9" w14:textId="77777777" w:rsidR="00EB07AB" w:rsidRPr="004024BD" w:rsidRDefault="00EB07AB" w:rsidP="00FD3D1D">
            <w:pPr>
              <w:spacing w:after="0" w:line="240" w:lineRule="auto"/>
              <w:jc w:val="center"/>
              <w:rPr>
                <w:rFonts w:ascii="Arial" w:eastAsia="Times New Roman" w:hAnsi="Arial" w:cs="Arial"/>
                <w:b/>
                <w:color w:val="000000"/>
                <w:sz w:val="20"/>
                <w:szCs w:val="20"/>
                <w:lang w:val="mn-MN"/>
              </w:rPr>
            </w:pPr>
            <w:r w:rsidRPr="004024BD">
              <w:rPr>
                <w:rFonts w:ascii="Arial" w:eastAsia="Times New Roman" w:hAnsi="Arial" w:cs="Arial"/>
                <w:b/>
                <w:color w:val="000000"/>
                <w:sz w:val="20"/>
                <w:szCs w:val="20"/>
                <w:lang w:val="mn-MN"/>
              </w:rPr>
              <w:t>НИЙТ</w:t>
            </w:r>
          </w:p>
        </w:tc>
        <w:tc>
          <w:tcPr>
            <w:tcW w:w="1990" w:type="dxa"/>
            <w:tcBorders>
              <w:bottom w:val="single" w:sz="4" w:space="0" w:color="auto"/>
            </w:tcBorders>
            <w:shd w:val="clear" w:color="auto" w:fill="auto"/>
            <w:noWrap/>
            <w:vAlign w:val="center"/>
            <w:hideMark/>
          </w:tcPr>
          <w:p w14:paraId="2D24502D" w14:textId="77777777" w:rsidR="00EB07AB" w:rsidRPr="004024BD" w:rsidRDefault="00EB07AB" w:rsidP="00FD3D1D">
            <w:pPr>
              <w:spacing w:after="0" w:line="240" w:lineRule="auto"/>
              <w:jc w:val="right"/>
              <w:rPr>
                <w:rFonts w:ascii="Arial" w:eastAsia="Times New Roman" w:hAnsi="Arial" w:cs="Arial"/>
                <w:b/>
                <w:color w:val="000000"/>
                <w:sz w:val="20"/>
                <w:szCs w:val="20"/>
                <w:lang w:val="mn-MN"/>
              </w:rPr>
            </w:pPr>
            <w:r w:rsidRPr="004024BD">
              <w:rPr>
                <w:rFonts w:ascii="Arial" w:hAnsi="Arial" w:cs="Arial"/>
                <w:b/>
                <w:sz w:val="20"/>
                <w:szCs w:val="20"/>
                <w:lang w:val="mn-MN"/>
              </w:rPr>
              <w:t>605.8</w:t>
            </w:r>
          </w:p>
        </w:tc>
        <w:tc>
          <w:tcPr>
            <w:tcW w:w="1990" w:type="dxa"/>
            <w:tcBorders>
              <w:bottom w:val="single" w:sz="4" w:space="0" w:color="auto"/>
            </w:tcBorders>
            <w:shd w:val="clear" w:color="auto" w:fill="auto"/>
            <w:noWrap/>
            <w:vAlign w:val="center"/>
            <w:hideMark/>
          </w:tcPr>
          <w:p w14:paraId="652487D1" w14:textId="77777777" w:rsidR="00EB07AB" w:rsidRPr="004024BD" w:rsidRDefault="00EB07AB" w:rsidP="00FD3D1D">
            <w:pPr>
              <w:spacing w:after="0" w:line="240" w:lineRule="auto"/>
              <w:jc w:val="right"/>
              <w:rPr>
                <w:rFonts w:ascii="Arial" w:eastAsia="Times New Roman" w:hAnsi="Arial" w:cs="Arial"/>
                <w:b/>
                <w:color w:val="000000"/>
                <w:sz w:val="20"/>
                <w:szCs w:val="20"/>
                <w:lang w:val="mn-MN"/>
              </w:rPr>
            </w:pPr>
            <w:r w:rsidRPr="004024BD">
              <w:rPr>
                <w:rFonts w:ascii="Arial" w:hAnsi="Arial" w:cs="Arial"/>
                <w:b/>
                <w:sz w:val="20"/>
                <w:szCs w:val="20"/>
                <w:lang w:val="mn-MN"/>
              </w:rPr>
              <w:t>888.9</w:t>
            </w:r>
          </w:p>
        </w:tc>
        <w:tc>
          <w:tcPr>
            <w:tcW w:w="1899" w:type="dxa"/>
            <w:tcBorders>
              <w:bottom w:val="single" w:sz="4" w:space="0" w:color="auto"/>
            </w:tcBorders>
            <w:shd w:val="clear" w:color="auto" w:fill="auto"/>
            <w:noWrap/>
            <w:vAlign w:val="center"/>
            <w:hideMark/>
          </w:tcPr>
          <w:p w14:paraId="457B42FA" w14:textId="77777777" w:rsidR="00EB07AB" w:rsidRPr="004024BD" w:rsidRDefault="00EB07AB" w:rsidP="00FD3D1D">
            <w:pPr>
              <w:spacing w:after="0" w:line="240" w:lineRule="auto"/>
              <w:jc w:val="right"/>
              <w:rPr>
                <w:rFonts w:ascii="Arial" w:eastAsia="Times New Roman" w:hAnsi="Arial" w:cs="Arial"/>
                <w:b/>
                <w:color w:val="000000"/>
                <w:sz w:val="20"/>
                <w:szCs w:val="20"/>
                <w:lang w:val="mn-MN"/>
              </w:rPr>
            </w:pPr>
            <w:r w:rsidRPr="004024BD">
              <w:rPr>
                <w:rFonts w:ascii="Arial" w:hAnsi="Arial" w:cs="Arial"/>
                <w:b/>
                <w:sz w:val="20"/>
                <w:szCs w:val="20"/>
                <w:lang w:val="mn-MN"/>
              </w:rPr>
              <w:t>945.7</w:t>
            </w:r>
          </w:p>
        </w:tc>
      </w:tr>
    </w:tbl>
    <w:p w14:paraId="4212ACF1" w14:textId="77777777" w:rsidR="00EB07AB" w:rsidRPr="004024BD" w:rsidRDefault="00EB07AB" w:rsidP="00EB07AB">
      <w:pPr>
        <w:spacing w:after="0" w:line="240" w:lineRule="auto"/>
        <w:jc w:val="both"/>
        <w:textAlignment w:val="baseline"/>
        <w:rPr>
          <w:rFonts w:ascii="Arial" w:eastAsia="Times New Roman" w:hAnsi="Arial" w:cs="Arial"/>
          <w:lang w:val="mn-MN"/>
        </w:rPr>
      </w:pPr>
      <w:r w:rsidRPr="004024BD">
        <w:rPr>
          <w:rFonts w:ascii="Arial" w:hAnsi="Arial" w:cs="Arial"/>
          <w:i/>
          <w:lang w:val="mn-MN"/>
        </w:rPr>
        <w:t xml:space="preserve"> </w:t>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t xml:space="preserve">       Эх сурвалж: Сангийн яам</w:t>
      </w:r>
    </w:p>
    <w:p w14:paraId="61817E7A" w14:textId="77777777" w:rsidR="00EB07AB" w:rsidRPr="004024BD" w:rsidRDefault="00EB07AB" w:rsidP="00EB07AB">
      <w:pPr>
        <w:pStyle w:val="Heading3"/>
        <w:spacing w:before="0" w:line="240" w:lineRule="auto"/>
        <w:rPr>
          <w:rFonts w:ascii="Arial" w:hAnsi="Arial" w:cs="Arial"/>
          <w:b/>
          <w:color w:val="auto"/>
          <w:sz w:val="22"/>
          <w:szCs w:val="22"/>
        </w:rPr>
      </w:pPr>
      <w:r w:rsidRPr="004024BD">
        <w:rPr>
          <w:rFonts w:ascii="Arial" w:hAnsi="Arial" w:cs="Arial"/>
          <w:b/>
          <w:color w:val="auto"/>
          <w:sz w:val="22"/>
          <w:szCs w:val="22"/>
        </w:rPr>
        <w:tab/>
      </w:r>
    </w:p>
    <w:p w14:paraId="3FDE01DC" w14:textId="77777777" w:rsidR="00EB07AB" w:rsidRPr="004024BD" w:rsidRDefault="00EB07AB" w:rsidP="00EB07AB">
      <w:pPr>
        <w:pStyle w:val="Heading3"/>
        <w:spacing w:before="0" w:line="240" w:lineRule="auto"/>
        <w:ind w:firstLine="720"/>
        <w:rPr>
          <w:rFonts w:ascii="Arial" w:hAnsi="Arial" w:cs="Arial"/>
          <w:b/>
          <w:color w:val="auto"/>
        </w:rPr>
      </w:pPr>
      <w:r w:rsidRPr="004024BD">
        <w:rPr>
          <w:rFonts w:ascii="Arial" w:hAnsi="Arial" w:cs="Arial"/>
          <w:b/>
          <w:color w:val="auto"/>
        </w:rPr>
        <w:t>1.2.4.Засгийн газрын өрийн баталгаа</w:t>
      </w:r>
    </w:p>
    <w:p w14:paraId="42FA3235" w14:textId="77777777" w:rsidR="00EB07AB" w:rsidRPr="004024BD" w:rsidRDefault="00EB07AB" w:rsidP="00EB07AB">
      <w:pPr>
        <w:spacing w:after="0" w:line="240" w:lineRule="auto"/>
        <w:ind w:firstLine="360"/>
        <w:jc w:val="both"/>
        <w:rPr>
          <w:rFonts w:ascii="Arial" w:hAnsi="Arial" w:cs="Arial"/>
          <w:sz w:val="24"/>
          <w:szCs w:val="24"/>
          <w:lang w:val="mn-MN"/>
        </w:rPr>
      </w:pPr>
      <w:r w:rsidRPr="004024BD">
        <w:rPr>
          <w:rFonts w:ascii="Arial" w:hAnsi="Arial" w:cs="Arial"/>
          <w:sz w:val="24"/>
          <w:szCs w:val="24"/>
          <w:lang w:val="mn-MN"/>
        </w:rPr>
        <w:tab/>
      </w:r>
    </w:p>
    <w:p w14:paraId="1364FA91" w14:textId="77777777" w:rsidR="00EB07AB" w:rsidRPr="004024BD" w:rsidRDefault="00EB07AB" w:rsidP="00EB07AB">
      <w:pPr>
        <w:spacing w:after="0" w:line="240" w:lineRule="auto"/>
        <w:ind w:firstLine="720"/>
        <w:jc w:val="both"/>
        <w:rPr>
          <w:rFonts w:ascii="Arial" w:hAnsi="Arial" w:cs="Arial"/>
          <w:sz w:val="24"/>
          <w:szCs w:val="24"/>
          <w:lang w:val="mn-MN"/>
        </w:rPr>
      </w:pPr>
      <w:r w:rsidRPr="004024BD">
        <w:rPr>
          <w:rFonts w:ascii="Arial" w:hAnsi="Arial" w:cs="Arial"/>
          <w:sz w:val="24"/>
          <w:szCs w:val="24"/>
          <w:lang w:val="mn-MN"/>
        </w:rPr>
        <w:t>Засгийн газрын өрийн баталгааны үлдэгдэл 2021 оны жилийн эцсийн байдлаар 876.5 тэрбум төгрөг болж, 2020 оны жилийн эцсээс 183.8 тэрбум төгрөгөөр буурав. Үүнээс Монгол Улсын Хөгжлийн банканд гаргасан баталгааны үлдэгдэл 820.9 тэрбум төгрөг, Монголын иргэний агаарын тээвэр хувьцаат компани /“МИАТ” ХК/-д гаргасан баталгааны үлдэгдэл 29.0 тэрбум төгрөг, “Эрдэнэс Монгол” ХХК-д гаргасан баталгааны үлдэгдэл 26.5 тэрбум төгрөг байна.</w:t>
      </w:r>
    </w:p>
    <w:p w14:paraId="23ED41F4" w14:textId="77777777" w:rsidR="00EB07AB" w:rsidRPr="004024BD" w:rsidRDefault="00EB07AB" w:rsidP="00EB07AB">
      <w:pPr>
        <w:spacing w:after="0" w:line="240" w:lineRule="auto"/>
        <w:ind w:firstLine="720"/>
        <w:jc w:val="both"/>
        <w:rPr>
          <w:rFonts w:ascii="Arial" w:hAnsi="Arial" w:cs="Arial"/>
          <w:sz w:val="24"/>
          <w:szCs w:val="24"/>
          <w:lang w:val="mn-MN"/>
        </w:rPr>
      </w:pPr>
    </w:p>
    <w:p w14:paraId="6007E6BC" w14:textId="77777777" w:rsidR="00EB07AB" w:rsidRPr="004024BD" w:rsidRDefault="00EB07AB" w:rsidP="00EB07AB">
      <w:pPr>
        <w:spacing w:after="0" w:line="240" w:lineRule="auto"/>
        <w:ind w:firstLine="720"/>
        <w:rPr>
          <w:rFonts w:ascii="Arial" w:hAnsi="Arial" w:cs="Arial"/>
          <w:lang w:val="mn-MN"/>
        </w:rPr>
      </w:pPr>
      <w:r w:rsidRPr="004024BD">
        <w:rPr>
          <w:rFonts w:ascii="Arial" w:hAnsi="Arial" w:cs="Arial"/>
          <w:i/>
          <w:lang w:val="mn-MN"/>
        </w:rPr>
        <w:t>Хүснэгт №6: Засгийн газрын өрийн баталгаа, 2021.12.31</w:t>
      </w:r>
      <w:r w:rsidRPr="004024BD">
        <w:rPr>
          <w:rFonts w:ascii="Arial" w:hAnsi="Arial" w:cs="Arial"/>
          <w:lang w:val="mn-MN"/>
        </w:rPr>
        <w:t>-</w:t>
      </w:r>
      <w:r w:rsidRPr="004024BD">
        <w:rPr>
          <w:rFonts w:ascii="Arial" w:hAnsi="Arial" w:cs="Arial"/>
          <w:i/>
          <w:lang w:val="mn-MN"/>
        </w:rPr>
        <w:t>ний байдлаар</w:t>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p>
    <w:tbl>
      <w:tblPr>
        <w:tblStyle w:val="TableGrid"/>
        <w:tblW w:w="9720" w:type="dxa"/>
        <w:tblInd w:w="-5" w:type="dxa"/>
        <w:tblLayout w:type="fixed"/>
        <w:tblLook w:val="04A0" w:firstRow="1" w:lastRow="0" w:firstColumn="1" w:lastColumn="0" w:noHBand="0" w:noVBand="1"/>
      </w:tblPr>
      <w:tblGrid>
        <w:gridCol w:w="540"/>
        <w:gridCol w:w="1710"/>
        <w:gridCol w:w="3420"/>
        <w:gridCol w:w="1530"/>
        <w:gridCol w:w="1530"/>
        <w:gridCol w:w="990"/>
      </w:tblGrid>
      <w:tr w:rsidR="00EB07AB" w:rsidRPr="004024BD" w14:paraId="5F2AAFC2" w14:textId="77777777" w:rsidTr="00FD3D1D">
        <w:trPr>
          <w:trHeight w:val="314"/>
        </w:trPr>
        <w:tc>
          <w:tcPr>
            <w:tcW w:w="540" w:type="dxa"/>
            <w:vMerge w:val="restart"/>
            <w:shd w:val="clear" w:color="auto" w:fill="1F3864" w:themeFill="accent1" w:themeFillShade="80"/>
            <w:vAlign w:val="center"/>
          </w:tcPr>
          <w:p w14:paraId="2A2BA3DF" w14:textId="77777777" w:rsidR="00EB07AB" w:rsidRPr="004024BD" w:rsidRDefault="00EB07AB" w:rsidP="00FD3D1D">
            <w:pPr>
              <w:jc w:val="center"/>
              <w:rPr>
                <w:rFonts w:ascii="Arial" w:hAnsi="Arial" w:cs="Arial"/>
                <w:b/>
                <w:sz w:val="20"/>
                <w:szCs w:val="20"/>
                <w:lang w:val="mn-MN"/>
              </w:rPr>
            </w:pPr>
            <w:r w:rsidRPr="004024BD">
              <w:rPr>
                <w:rFonts w:ascii="Arial" w:hAnsi="Arial" w:cs="Arial"/>
                <w:b/>
                <w:sz w:val="20"/>
                <w:szCs w:val="20"/>
                <w:lang w:val="mn-MN"/>
              </w:rPr>
              <w:t>№</w:t>
            </w:r>
          </w:p>
        </w:tc>
        <w:tc>
          <w:tcPr>
            <w:tcW w:w="1710" w:type="dxa"/>
            <w:vMerge w:val="restart"/>
            <w:shd w:val="clear" w:color="auto" w:fill="1F3864" w:themeFill="accent1" w:themeFillShade="80"/>
            <w:vAlign w:val="center"/>
          </w:tcPr>
          <w:p w14:paraId="673A793A" w14:textId="77777777" w:rsidR="00EB07AB" w:rsidRPr="004024BD" w:rsidRDefault="00EB07AB" w:rsidP="00FD3D1D">
            <w:pPr>
              <w:jc w:val="center"/>
              <w:rPr>
                <w:rFonts w:ascii="Arial" w:hAnsi="Arial" w:cs="Arial"/>
                <w:b/>
                <w:sz w:val="20"/>
                <w:szCs w:val="20"/>
                <w:lang w:val="mn-MN"/>
              </w:rPr>
            </w:pPr>
            <w:r w:rsidRPr="004024BD">
              <w:rPr>
                <w:rFonts w:ascii="Arial" w:hAnsi="Arial" w:cs="Arial"/>
                <w:b/>
                <w:sz w:val="20"/>
                <w:szCs w:val="20"/>
                <w:lang w:val="mn-MN"/>
              </w:rPr>
              <w:t>Баталгаа гаргуулагч</w:t>
            </w:r>
          </w:p>
        </w:tc>
        <w:tc>
          <w:tcPr>
            <w:tcW w:w="3420" w:type="dxa"/>
            <w:vMerge w:val="restart"/>
            <w:shd w:val="clear" w:color="auto" w:fill="1F3864" w:themeFill="accent1" w:themeFillShade="80"/>
            <w:vAlign w:val="center"/>
          </w:tcPr>
          <w:p w14:paraId="49499065" w14:textId="77777777" w:rsidR="00EB07AB" w:rsidRPr="004024BD" w:rsidRDefault="00EB07AB" w:rsidP="00FD3D1D">
            <w:pPr>
              <w:jc w:val="center"/>
              <w:rPr>
                <w:rFonts w:ascii="Arial" w:hAnsi="Arial" w:cs="Arial"/>
                <w:b/>
                <w:sz w:val="20"/>
                <w:szCs w:val="20"/>
                <w:lang w:val="mn-MN"/>
              </w:rPr>
            </w:pPr>
            <w:r w:rsidRPr="004024BD">
              <w:rPr>
                <w:rFonts w:ascii="Arial" w:hAnsi="Arial" w:cs="Arial"/>
                <w:b/>
                <w:sz w:val="20"/>
                <w:szCs w:val="20"/>
                <w:lang w:val="mn-MN"/>
              </w:rPr>
              <w:t>Зээлдүүлэгч</w:t>
            </w:r>
          </w:p>
        </w:tc>
        <w:tc>
          <w:tcPr>
            <w:tcW w:w="1530" w:type="dxa"/>
            <w:vMerge w:val="restart"/>
            <w:shd w:val="clear" w:color="auto" w:fill="1F3864" w:themeFill="accent1" w:themeFillShade="80"/>
            <w:vAlign w:val="center"/>
          </w:tcPr>
          <w:p w14:paraId="263542DE" w14:textId="77777777" w:rsidR="00EB07AB" w:rsidRPr="004024BD" w:rsidRDefault="00EB07AB" w:rsidP="00FD3D1D">
            <w:pPr>
              <w:jc w:val="center"/>
              <w:rPr>
                <w:rFonts w:ascii="Arial" w:hAnsi="Arial" w:cs="Arial"/>
                <w:b/>
                <w:sz w:val="20"/>
                <w:szCs w:val="20"/>
                <w:lang w:val="mn-MN"/>
              </w:rPr>
            </w:pPr>
            <w:r w:rsidRPr="004024BD">
              <w:rPr>
                <w:rFonts w:ascii="Arial" w:hAnsi="Arial" w:cs="Arial"/>
                <w:b/>
                <w:sz w:val="20"/>
                <w:szCs w:val="20"/>
                <w:lang w:val="mn-MN"/>
              </w:rPr>
              <w:t>Валют</w:t>
            </w:r>
          </w:p>
        </w:tc>
        <w:tc>
          <w:tcPr>
            <w:tcW w:w="2520" w:type="dxa"/>
            <w:gridSpan w:val="2"/>
            <w:shd w:val="clear" w:color="auto" w:fill="1F3864" w:themeFill="accent1" w:themeFillShade="80"/>
            <w:vAlign w:val="center"/>
          </w:tcPr>
          <w:p w14:paraId="6452FFC2" w14:textId="77777777" w:rsidR="00EB07AB" w:rsidRPr="004024BD" w:rsidRDefault="00EB07AB" w:rsidP="00FD3D1D">
            <w:pPr>
              <w:jc w:val="center"/>
              <w:rPr>
                <w:rFonts w:ascii="Arial" w:hAnsi="Arial" w:cs="Arial"/>
                <w:b/>
                <w:sz w:val="20"/>
                <w:szCs w:val="20"/>
                <w:lang w:val="mn-MN"/>
              </w:rPr>
            </w:pPr>
            <w:r w:rsidRPr="004024BD">
              <w:rPr>
                <w:rFonts w:ascii="Arial" w:hAnsi="Arial" w:cs="Arial"/>
                <w:b/>
                <w:sz w:val="20"/>
                <w:szCs w:val="20"/>
                <w:lang w:val="mn-MN"/>
              </w:rPr>
              <w:t>2021</w:t>
            </w:r>
          </w:p>
        </w:tc>
      </w:tr>
      <w:tr w:rsidR="00EB07AB" w:rsidRPr="004024BD" w14:paraId="38071CEB" w14:textId="77777777" w:rsidTr="00FD3D1D">
        <w:trPr>
          <w:trHeight w:val="119"/>
        </w:trPr>
        <w:tc>
          <w:tcPr>
            <w:tcW w:w="540" w:type="dxa"/>
            <w:vMerge/>
            <w:shd w:val="clear" w:color="auto" w:fill="1F3864" w:themeFill="accent1" w:themeFillShade="80"/>
            <w:vAlign w:val="center"/>
          </w:tcPr>
          <w:p w14:paraId="03A5901B" w14:textId="77777777" w:rsidR="00EB07AB" w:rsidRPr="004024BD" w:rsidRDefault="00EB07AB" w:rsidP="00FD3D1D">
            <w:pPr>
              <w:jc w:val="center"/>
              <w:rPr>
                <w:rFonts w:ascii="Arial" w:hAnsi="Arial" w:cs="Arial"/>
                <w:b/>
                <w:sz w:val="20"/>
                <w:szCs w:val="20"/>
                <w:lang w:val="mn-MN"/>
              </w:rPr>
            </w:pPr>
          </w:p>
        </w:tc>
        <w:tc>
          <w:tcPr>
            <w:tcW w:w="1710" w:type="dxa"/>
            <w:vMerge/>
            <w:shd w:val="clear" w:color="auto" w:fill="1F3864" w:themeFill="accent1" w:themeFillShade="80"/>
            <w:vAlign w:val="center"/>
          </w:tcPr>
          <w:p w14:paraId="0195FB22" w14:textId="77777777" w:rsidR="00EB07AB" w:rsidRPr="004024BD" w:rsidRDefault="00EB07AB" w:rsidP="00FD3D1D">
            <w:pPr>
              <w:jc w:val="center"/>
              <w:rPr>
                <w:rFonts w:ascii="Arial" w:hAnsi="Arial" w:cs="Arial"/>
                <w:b/>
                <w:sz w:val="20"/>
                <w:szCs w:val="20"/>
                <w:lang w:val="mn-MN"/>
              </w:rPr>
            </w:pPr>
          </w:p>
        </w:tc>
        <w:tc>
          <w:tcPr>
            <w:tcW w:w="3420" w:type="dxa"/>
            <w:vMerge/>
            <w:shd w:val="clear" w:color="auto" w:fill="1F3864" w:themeFill="accent1" w:themeFillShade="80"/>
            <w:vAlign w:val="center"/>
          </w:tcPr>
          <w:p w14:paraId="71CFF7FA" w14:textId="77777777" w:rsidR="00EB07AB" w:rsidRPr="004024BD" w:rsidRDefault="00EB07AB" w:rsidP="00FD3D1D">
            <w:pPr>
              <w:jc w:val="center"/>
              <w:rPr>
                <w:rFonts w:ascii="Arial" w:hAnsi="Arial" w:cs="Arial"/>
                <w:b/>
                <w:sz w:val="20"/>
                <w:szCs w:val="20"/>
                <w:lang w:val="mn-MN"/>
              </w:rPr>
            </w:pPr>
          </w:p>
        </w:tc>
        <w:tc>
          <w:tcPr>
            <w:tcW w:w="1530" w:type="dxa"/>
            <w:vMerge/>
            <w:shd w:val="clear" w:color="auto" w:fill="1F3864" w:themeFill="accent1" w:themeFillShade="80"/>
            <w:vAlign w:val="center"/>
          </w:tcPr>
          <w:p w14:paraId="52692D9A" w14:textId="77777777" w:rsidR="00EB07AB" w:rsidRPr="004024BD" w:rsidRDefault="00EB07AB" w:rsidP="00FD3D1D">
            <w:pPr>
              <w:jc w:val="center"/>
              <w:rPr>
                <w:rFonts w:ascii="Arial" w:hAnsi="Arial" w:cs="Arial"/>
                <w:b/>
                <w:sz w:val="20"/>
                <w:szCs w:val="20"/>
                <w:lang w:val="mn-MN"/>
              </w:rPr>
            </w:pPr>
          </w:p>
        </w:tc>
        <w:tc>
          <w:tcPr>
            <w:tcW w:w="1530" w:type="dxa"/>
            <w:shd w:val="clear" w:color="auto" w:fill="1F3864" w:themeFill="accent1" w:themeFillShade="80"/>
            <w:vAlign w:val="center"/>
          </w:tcPr>
          <w:p w14:paraId="28075506" w14:textId="77777777" w:rsidR="00EB07AB" w:rsidRPr="004024BD" w:rsidRDefault="00EB07AB" w:rsidP="00FD3D1D">
            <w:pPr>
              <w:jc w:val="center"/>
              <w:rPr>
                <w:rFonts w:ascii="Arial" w:hAnsi="Arial" w:cs="Arial"/>
                <w:b/>
                <w:sz w:val="20"/>
                <w:szCs w:val="20"/>
                <w:lang w:val="mn-MN"/>
              </w:rPr>
            </w:pPr>
            <w:r w:rsidRPr="004024BD">
              <w:rPr>
                <w:rFonts w:ascii="Arial" w:hAnsi="Arial" w:cs="Arial"/>
                <w:b/>
                <w:sz w:val="20"/>
                <w:szCs w:val="20"/>
                <w:lang w:val="mn-MN"/>
              </w:rPr>
              <w:t>Үндсэн валют /сая/</w:t>
            </w:r>
          </w:p>
        </w:tc>
        <w:tc>
          <w:tcPr>
            <w:tcW w:w="990" w:type="dxa"/>
            <w:shd w:val="clear" w:color="auto" w:fill="1F3864" w:themeFill="accent1" w:themeFillShade="80"/>
            <w:vAlign w:val="center"/>
          </w:tcPr>
          <w:p w14:paraId="3C55861F" w14:textId="77777777" w:rsidR="00EB07AB" w:rsidRPr="004024BD" w:rsidRDefault="00EB07AB" w:rsidP="00FD3D1D">
            <w:pPr>
              <w:jc w:val="center"/>
              <w:rPr>
                <w:rFonts w:ascii="Arial" w:hAnsi="Arial" w:cs="Arial"/>
                <w:b/>
                <w:sz w:val="20"/>
                <w:szCs w:val="20"/>
                <w:lang w:val="mn-MN"/>
              </w:rPr>
            </w:pPr>
            <w:r w:rsidRPr="004024BD">
              <w:rPr>
                <w:rFonts w:ascii="Arial" w:hAnsi="Arial" w:cs="Arial"/>
                <w:b/>
                <w:sz w:val="20"/>
                <w:szCs w:val="20"/>
                <w:lang w:val="mn-MN"/>
              </w:rPr>
              <w:t>Тэрбум төгрөг</w:t>
            </w:r>
          </w:p>
        </w:tc>
      </w:tr>
      <w:tr w:rsidR="00EB07AB" w:rsidRPr="004024BD" w14:paraId="0B37FF27" w14:textId="77777777" w:rsidTr="00FD3D1D">
        <w:trPr>
          <w:trHeight w:val="548"/>
        </w:trPr>
        <w:tc>
          <w:tcPr>
            <w:tcW w:w="540" w:type="dxa"/>
            <w:vAlign w:val="center"/>
          </w:tcPr>
          <w:p w14:paraId="03ED2C0E" w14:textId="77777777" w:rsidR="00EB07AB" w:rsidRPr="004024BD" w:rsidRDefault="00EB07AB" w:rsidP="00FD3D1D">
            <w:pPr>
              <w:jc w:val="both"/>
              <w:rPr>
                <w:rFonts w:ascii="Arial" w:hAnsi="Arial" w:cs="Arial"/>
                <w:sz w:val="20"/>
                <w:szCs w:val="20"/>
                <w:lang w:val="mn-MN"/>
              </w:rPr>
            </w:pPr>
            <w:r w:rsidRPr="004024BD">
              <w:rPr>
                <w:rFonts w:ascii="Arial" w:hAnsi="Arial" w:cs="Arial"/>
                <w:sz w:val="20"/>
                <w:szCs w:val="20"/>
                <w:lang w:val="mn-MN"/>
              </w:rPr>
              <w:t>1</w:t>
            </w:r>
          </w:p>
        </w:tc>
        <w:tc>
          <w:tcPr>
            <w:tcW w:w="1710" w:type="dxa"/>
            <w:vAlign w:val="center"/>
          </w:tcPr>
          <w:p w14:paraId="3CBFCFE8" w14:textId="77777777" w:rsidR="00EB07AB" w:rsidRPr="004024BD" w:rsidRDefault="00EB07AB" w:rsidP="00FD3D1D">
            <w:pPr>
              <w:rPr>
                <w:rFonts w:ascii="Arial" w:hAnsi="Arial" w:cs="Arial"/>
                <w:sz w:val="20"/>
                <w:szCs w:val="20"/>
                <w:lang w:val="mn-MN"/>
              </w:rPr>
            </w:pPr>
            <w:r w:rsidRPr="004024BD">
              <w:rPr>
                <w:rFonts w:ascii="Arial" w:hAnsi="Arial" w:cs="Arial"/>
                <w:sz w:val="20"/>
                <w:szCs w:val="20"/>
                <w:lang w:val="mn-MN"/>
              </w:rPr>
              <w:t>“МИАТ” ХК</w:t>
            </w:r>
          </w:p>
        </w:tc>
        <w:tc>
          <w:tcPr>
            <w:tcW w:w="3420" w:type="dxa"/>
            <w:vAlign w:val="center"/>
          </w:tcPr>
          <w:p w14:paraId="2597C150" w14:textId="77777777" w:rsidR="00EB07AB" w:rsidRPr="004024BD" w:rsidRDefault="00EB07AB" w:rsidP="00FD3D1D">
            <w:pPr>
              <w:rPr>
                <w:rFonts w:ascii="Arial" w:hAnsi="Arial" w:cs="Arial"/>
                <w:sz w:val="20"/>
                <w:szCs w:val="20"/>
                <w:lang w:val="mn-MN"/>
              </w:rPr>
            </w:pPr>
            <w:r w:rsidRPr="004024BD">
              <w:rPr>
                <w:rFonts w:ascii="Arial" w:hAnsi="Arial" w:cs="Arial"/>
                <w:sz w:val="20"/>
                <w:szCs w:val="20"/>
                <w:lang w:val="mn-MN"/>
              </w:rPr>
              <w:t>АНУ</w:t>
            </w:r>
            <w:r w:rsidRPr="004024BD">
              <w:rPr>
                <w:rStyle w:val="FootnoteReference"/>
                <w:rFonts w:ascii="Arial" w:hAnsi="Arial" w:cs="Arial"/>
                <w:lang w:val="mn-MN"/>
              </w:rPr>
              <w:footnoteReference w:id="3"/>
            </w:r>
            <w:r w:rsidRPr="004024BD">
              <w:rPr>
                <w:rFonts w:ascii="Arial" w:hAnsi="Arial" w:cs="Arial"/>
                <w:sz w:val="20"/>
                <w:szCs w:val="20"/>
                <w:lang w:val="mn-MN"/>
              </w:rPr>
              <w:t>-ын Хувийн экспортын санхүүжилтийн корпорац /PEFCO/</w:t>
            </w:r>
          </w:p>
        </w:tc>
        <w:tc>
          <w:tcPr>
            <w:tcW w:w="1530" w:type="dxa"/>
            <w:vAlign w:val="center"/>
          </w:tcPr>
          <w:p w14:paraId="49DFDF39" w14:textId="77777777" w:rsidR="00EB07AB" w:rsidRPr="004024BD" w:rsidRDefault="00EB07AB" w:rsidP="00FD3D1D">
            <w:pPr>
              <w:jc w:val="center"/>
              <w:rPr>
                <w:rFonts w:ascii="Arial" w:hAnsi="Arial" w:cs="Arial"/>
                <w:sz w:val="20"/>
                <w:szCs w:val="20"/>
                <w:lang w:val="mn-MN"/>
              </w:rPr>
            </w:pPr>
            <w:r w:rsidRPr="004024BD">
              <w:rPr>
                <w:rFonts w:ascii="Arial" w:hAnsi="Arial" w:cs="Arial"/>
                <w:sz w:val="20"/>
                <w:szCs w:val="20"/>
                <w:lang w:val="mn-MN"/>
              </w:rPr>
              <w:t>Ам.доллар</w:t>
            </w:r>
          </w:p>
        </w:tc>
        <w:tc>
          <w:tcPr>
            <w:tcW w:w="1530" w:type="dxa"/>
            <w:vAlign w:val="center"/>
          </w:tcPr>
          <w:p w14:paraId="2C835A49"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10.2</w:t>
            </w:r>
          </w:p>
        </w:tc>
        <w:tc>
          <w:tcPr>
            <w:tcW w:w="990" w:type="dxa"/>
            <w:vAlign w:val="center"/>
          </w:tcPr>
          <w:p w14:paraId="462B6E6C"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29.0</w:t>
            </w:r>
          </w:p>
        </w:tc>
      </w:tr>
      <w:tr w:rsidR="00EB07AB" w:rsidRPr="004024BD" w14:paraId="569D2668" w14:textId="77777777" w:rsidTr="00FD3D1D">
        <w:trPr>
          <w:trHeight w:val="449"/>
        </w:trPr>
        <w:tc>
          <w:tcPr>
            <w:tcW w:w="540" w:type="dxa"/>
            <w:vAlign w:val="center"/>
          </w:tcPr>
          <w:p w14:paraId="7E442D71" w14:textId="77777777" w:rsidR="00EB07AB" w:rsidRPr="004024BD" w:rsidRDefault="00EB07AB" w:rsidP="00FD3D1D">
            <w:pPr>
              <w:jc w:val="both"/>
              <w:rPr>
                <w:rFonts w:ascii="Arial" w:hAnsi="Arial" w:cs="Arial"/>
                <w:sz w:val="20"/>
                <w:szCs w:val="20"/>
                <w:lang w:val="mn-MN"/>
              </w:rPr>
            </w:pPr>
            <w:r w:rsidRPr="004024BD">
              <w:rPr>
                <w:rFonts w:ascii="Arial" w:hAnsi="Arial" w:cs="Arial"/>
                <w:sz w:val="20"/>
                <w:szCs w:val="20"/>
                <w:lang w:val="mn-MN"/>
              </w:rPr>
              <w:t>2</w:t>
            </w:r>
          </w:p>
        </w:tc>
        <w:tc>
          <w:tcPr>
            <w:tcW w:w="1710" w:type="dxa"/>
            <w:vAlign w:val="center"/>
          </w:tcPr>
          <w:p w14:paraId="189043AF" w14:textId="77777777" w:rsidR="00EB07AB" w:rsidRPr="004024BD" w:rsidRDefault="00EB07AB" w:rsidP="00FD3D1D">
            <w:pPr>
              <w:rPr>
                <w:rFonts w:ascii="Arial" w:hAnsi="Arial" w:cs="Arial"/>
                <w:sz w:val="20"/>
                <w:szCs w:val="20"/>
                <w:lang w:val="mn-MN"/>
              </w:rPr>
            </w:pPr>
            <w:r w:rsidRPr="004024BD">
              <w:rPr>
                <w:rFonts w:ascii="Arial" w:hAnsi="Arial" w:cs="Arial"/>
                <w:sz w:val="20"/>
                <w:szCs w:val="20"/>
                <w:lang w:val="mn-MN"/>
              </w:rPr>
              <w:t>Монгол Улсын Хөгжлийн банк</w:t>
            </w:r>
          </w:p>
        </w:tc>
        <w:tc>
          <w:tcPr>
            <w:tcW w:w="3420" w:type="dxa"/>
            <w:vAlign w:val="center"/>
          </w:tcPr>
          <w:p w14:paraId="71815F52" w14:textId="77777777" w:rsidR="00EB07AB" w:rsidRPr="004024BD" w:rsidRDefault="00EB07AB" w:rsidP="00FD3D1D">
            <w:pPr>
              <w:rPr>
                <w:rFonts w:ascii="Arial" w:hAnsi="Arial" w:cs="Arial"/>
                <w:sz w:val="20"/>
                <w:szCs w:val="20"/>
                <w:lang w:val="mn-MN"/>
              </w:rPr>
            </w:pPr>
            <w:r w:rsidRPr="004024BD">
              <w:rPr>
                <w:rFonts w:ascii="Arial" w:hAnsi="Arial" w:cs="Arial"/>
                <w:sz w:val="20"/>
                <w:szCs w:val="20"/>
                <w:lang w:val="mn-MN"/>
              </w:rPr>
              <w:t>Японы хөрөнгө оруулагчид</w:t>
            </w:r>
          </w:p>
        </w:tc>
        <w:tc>
          <w:tcPr>
            <w:tcW w:w="1530" w:type="dxa"/>
            <w:vAlign w:val="center"/>
          </w:tcPr>
          <w:p w14:paraId="0B32C953" w14:textId="77777777" w:rsidR="00EB07AB" w:rsidRPr="004024BD" w:rsidRDefault="00EB07AB" w:rsidP="00FD3D1D">
            <w:pPr>
              <w:jc w:val="center"/>
              <w:rPr>
                <w:rFonts w:ascii="Arial" w:hAnsi="Arial" w:cs="Arial"/>
                <w:sz w:val="20"/>
                <w:szCs w:val="20"/>
                <w:lang w:val="mn-MN"/>
              </w:rPr>
            </w:pPr>
            <w:r w:rsidRPr="004024BD">
              <w:rPr>
                <w:rFonts w:ascii="Arial" w:hAnsi="Arial" w:cs="Arial"/>
                <w:sz w:val="20"/>
                <w:szCs w:val="20"/>
                <w:lang w:val="mn-MN"/>
              </w:rPr>
              <w:t>Иен</w:t>
            </w:r>
          </w:p>
        </w:tc>
        <w:tc>
          <w:tcPr>
            <w:tcW w:w="1530" w:type="dxa"/>
            <w:vAlign w:val="center"/>
          </w:tcPr>
          <w:p w14:paraId="3662246F"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30,000.0</w:t>
            </w:r>
          </w:p>
        </w:tc>
        <w:tc>
          <w:tcPr>
            <w:tcW w:w="990" w:type="dxa"/>
            <w:vAlign w:val="center"/>
          </w:tcPr>
          <w:p w14:paraId="6E1C8166"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744.0</w:t>
            </w:r>
          </w:p>
        </w:tc>
      </w:tr>
      <w:tr w:rsidR="00EB07AB" w:rsidRPr="004024BD" w14:paraId="37D6C8D2" w14:textId="77777777" w:rsidTr="00FD3D1D">
        <w:trPr>
          <w:trHeight w:val="602"/>
        </w:trPr>
        <w:tc>
          <w:tcPr>
            <w:tcW w:w="540" w:type="dxa"/>
            <w:vAlign w:val="center"/>
          </w:tcPr>
          <w:p w14:paraId="65D74376" w14:textId="77777777" w:rsidR="00EB07AB" w:rsidRPr="004024BD" w:rsidRDefault="00EB07AB" w:rsidP="00FD3D1D">
            <w:pPr>
              <w:jc w:val="both"/>
              <w:rPr>
                <w:rFonts w:ascii="Arial" w:hAnsi="Arial" w:cs="Arial"/>
                <w:sz w:val="20"/>
                <w:szCs w:val="20"/>
                <w:lang w:val="mn-MN"/>
              </w:rPr>
            </w:pPr>
            <w:r w:rsidRPr="004024BD">
              <w:rPr>
                <w:rFonts w:ascii="Arial" w:hAnsi="Arial" w:cs="Arial"/>
                <w:sz w:val="20"/>
                <w:szCs w:val="20"/>
                <w:lang w:val="mn-MN"/>
              </w:rPr>
              <w:t>3</w:t>
            </w:r>
          </w:p>
        </w:tc>
        <w:tc>
          <w:tcPr>
            <w:tcW w:w="1710" w:type="dxa"/>
            <w:vAlign w:val="center"/>
          </w:tcPr>
          <w:p w14:paraId="0E440459" w14:textId="77777777" w:rsidR="00EB07AB" w:rsidRPr="004024BD" w:rsidRDefault="00EB07AB" w:rsidP="00FD3D1D">
            <w:pPr>
              <w:rPr>
                <w:rFonts w:ascii="Arial" w:hAnsi="Arial" w:cs="Arial"/>
                <w:sz w:val="20"/>
                <w:szCs w:val="20"/>
                <w:lang w:val="mn-MN"/>
              </w:rPr>
            </w:pPr>
            <w:r w:rsidRPr="004024BD">
              <w:rPr>
                <w:rFonts w:ascii="Arial" w:hAnsi="Arial" w:cs="Arial"/>
                <w:sz w:val="20"/>
                <w:szCs w:val="20"/>
                <w:lang w:val="mn-MN"/>
              </w:rPr>
              <w:t>Монгол Улсын Хөгжлийн банк</w:t>
            </w:r>
          </w:p>
        </w:tc>
        <w:tc>
          <w:tcPr>
            <w:tcW w:w="3420" w:type="dxa"/>
            <w:vAlign w:val="center"/>
          </w:tcPr>
          <w:p w14:paraId="6267952F" w14:textId="77777777" w:rsidR="00EB07AB" w:rsidRPr="004024BD" w:rsidRDefault="00EB07AB" w:rsidP="00FD3D1D">
            <w:pPr>
              <w:rPr>
                <w:rFonts w:ascii="Arial" w:hAnsi="Arial" w:cs="Arial"/>
                <w:sz w:val="20"/>
                <w:szCs w:val="20"/>
                <w:lang w:val="mn-MN"/>
              </w:rPr>
            </w:pPr>
            <w:r w:rsidRPr="004024BD">
              <w:rPr>
                <w:rFonts w:ascii="Arial" w:hAnsi="Arial" w:cs="Arial"/>
                <w:sz w:val="20"/>
                <w:szCs w:val="20"/>
                <w:lang w:val="mn-MN"/>
              </w:rPr>
              <w:t>Хятадын Хөгжлийн банк /China Development Bank/</w:t>
            </w:r>
          </w:p>
        </w:tc>
        <w:tc>
          <w:tcPr>
            <w:tcW w:w="1530" w:type="dxa"/>
            <w:vAlign w:val="center"/>
          </w:tcPr>
          <w:p w14:paraId="3AD31786" w14:textId="77777777" w:rsidR="00EB07AB" w:rsidRPr="004024BD" w:rsidRDefault="00EB07AB" w:rsidP="00FD3D1D">
            <w:pPr>
              <w:jc w:val="center"/>
              <w:rPr>
                <w:rFonts w:ascii="Arial" w:hAnsi="Arial" w:cs="Arial"/>
                <w:sz w:val="20"/>
                <w:szCs w:val="20"/>
                <w:lang w:val="mn-MN"/>
              </w:rPr>
            </w:pPr>
            <w:r w:rsidRPr="004024BD">
              <w:rPr>
                <w:rFonts w:ascii="Arial" w:hAnsi="Arial" w:cs="Arial"/>
                <w:sz w:val="20"/>
                <w:szCs w:val="20"/>
                <w:lang w:val="mn-MN"/>
              </w:rPr>
              <w:t>Ам.доллар</w:t>
            </w:r>
          </w:p>
        </w:tc>
        <w:tc>
          <w:tcPr>
            <w:tcW w:w="1530" w:type="dxa"/>
            <w:vAlign w:val="center"/>
          </w:tcPr>
          <w:p w14:paraId="4F3A354A"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27.0</w:t>
            </w:r>
          </w:p>
        </w:tc>
        <w:tc>
          <w:tcPr>
            <w:tcW w:w="990" w:type="dxa"/>
            <w:vAlign w:val="center"/>
          </w:tcPr>
          <w:p w14:paraId="071B27E9"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76.9</w:t>
            </w:r>
          </w:p>
        </w:tc>
      </w:tr>
      <w:tr w:rsidR="00EB07AB" w:rsidRPr="004024BD" w14:paraId="1124D1BB" w14:textId="77777777" w:rsidTr="00FD3D1D">
        <w:trPr>
          <w:trHeight w:val="611"/>
        </w:trPr>
        <w:tc>
          <w:tcPr>
            <w:tcW w:w="540" w:type="dxa"/>
            <w:vAlign w:val="center"/>
          </w:tcPr>
          <w:p w14:paraId="45E2FC73" w14:textId="77777777" w:rsidR="00EB07AB" w:rsidRPr="004024BD" w:rsidRDefault="00EB07AB" w:rsidP="00FD3D1D">
            <w:pPr>
              <w:jc w:val="both"/>
              <w:rPr>
                <w:rFonts w:ascii="Arial" w:hAnsi="Arial" w:cs="Arial"/>
                <w:sz w:val="20"/>
                <w:szCs w:val="20"/>
                <w:lang w:val="mn-MN"/>
              </w:rPr>
            </w:pPr>
            <w:r w:rsidRPr="004024BD">
              <w:rPr>
                <w:rFonts w:ascii="Arial" w:hAnsi="Arial" w:cs="Arial"/>
                <w:sz w:val="20"/>
                <w:szCs w:val="20"/>
                <w:lang w:val="mn-MN"/>
              </w:rPr>
              <w:t>4</w:t>
            </w:r>
          </w:p>
        </w:tc>
        <w:tc>
          <w:tcPr>
            <w:tcW w:w="1710" w:type="dxa"/>
            <w:vAlign w:val="center"/>
          </w:tcPr>
          <w:p w14:paraId="2FFBB1A7" w14:textId="77777777" w:rsidR="00EB07AB" w:rsidRPr="004024BD" w:rsidRDefault="00EB07AB" w:rsidP="00FD3D1D">
            <w:pPr>
              <w:rPr>
                <w:rFonts w:ascii="Arial" w:hAnsi="Arial" w:cs="Arial"/>
                <w:sz w:val="20"/>
                <w:szCs w:val="20"/>
                <w:highlight w:val="green"/>
                <w:lang w:val="mn-MN"/>
              </w:rPr>
            </w:pPr>
            <w:r w:rsidRPr="004024BD">
              <w:rPr>
                <w:rFonts w:ascii="Arial" w:hAnsi="Arial" w:cs="Arial"/>
                <w:sz w:val="20"/>
                <w:szCs w:val="20"/>
                <w:lang w:val="mn-MN"/>
              </w:rPr>
              <w:t>“Эрдэнэс Монгол” ХХК</w:t>
            </w:r>
          </w:p>
        </w:tc>
        <w:tc>
          <w:tcPr>
            <w:tcW w:w="3420" w:type="dxa"/>
            <w:vAlign w:val="center"/>
          </w:tcPr>
          <w:p w14:paraId="65DB2064" w14:textId="77777777" w:rsidR="00EB07AB" w:rsidRPr="004024BD" w:rsidRDefault="00EB07AB" w:rsidP="00FD3D1D">
            <w:pPr>
              <w:rPr>
                <w:rFonts w:ascii="Arial" w:hAnsi="Arial" w:cs="Arial"/>
                <w:sz w:val="20"/>
                <w:szCs w:val="20"/>
                <w:lang w:val="mn-MN"/>
              </w:rPr>
            </w:pPr>
            <w:r w:rsidRPr="004024BD">
              <w:rPr>
                <w:rFonts w:ascii="Arial" w:hAnsi="Arial" w:cs="Arial"/>
                <w:sz w:val="20"/>
                <w:szCs w:val="20"/>
                <w:lang w:val="mn-MN"/>
              </w:rPr>
              <w:t xml:space="preserve">Азийн хөгжлийн  банк </w:t>
            </w:r>
          </w:p>
          <w:p w14:paraId="22769C88" w14:textId="77777777" w:rsidR="00EB07AB" w:rsidRPr="004024BD" w:rsidRDefault="00EB07AB" w:rsidP="00FD3D1D">
            <w:pPr>
              <w:rPr>
                <w:rFonts w:ascii="Arial" w:hAnsi="Arial" w:cs="Arial"/>
                <w:sz w:val="20"/>
                <w:szCs w:val="20"/>
                <w:lang w:val="mn-MN"/>
              </w:rPr>
            </w:pPr>
            <w:r w:rsidRPr="004024BD">
              <w:rPr>
                <w:rFonts w:ascii="Arial" w:hAnsi="Arial" w:cs="Arial"/>
                <w:sz w:val="20"/>
                <w:szCs w:val="20"/>
                <w:lang w:val="mn-MN"/>
              </w:rPr>
              <w:t>/Asian Development bank/</w:t>
            </w:r>
          </w:p>
        </w:tc>
        <w:tc>
          <w:tcPr>
            <w:tcW w:w="1530" w:type="dxa"/>
            <w:vAlign w:val="center"/>
          </w:tcPr>
          <w:p w14:paraId="3B5FDF14" w14:textId="77777777" w:rsidR="00EB07AB" w:rsidRPr="004024BD" w:rsidRDefault="00EB07AB" w:rsidP="00FD3D1D">
            <w:pPr>
              <w:jc w:val="center"/>
              <w:rPr>
                <w:rFonts w:ascii="Arial" w:hAnsi="Arial" w:cs="Arial"/>
                <w:sz w:val="20"/>
                <w:szCs w:val="20"/>
                <w:lang w:val="mn-MN"/>
              </w:rPr>
            </w:pPr>
            <w:r w:rsidRPr="004024BD">
              <w:rPr>
                <w:rFonts w:ascii="Arial" w:hAnsi="Arial" w:cs="Arial"/>
                <w:sz w:val="20"/>
                <w:szCs w:val="20"/>
                <w:lang w:val="mn-MN"/>
              </w:rPr>
              <w:t>Ам.доллар</w:t>
            </w:r>
          </w:p>
        </w:tc>
        <w:tc>
          <w:tcPr>
            <w:tcW w:w="1530" w:type="dxa"/>
            <w:vAlign w:val="center"/>
          </w:tcPr>
          <w:p w14:paraId="67FDDBA7"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9.3</w:t>
            </w:r>
          </w:p>
        </w:tc>
        <w:tc>
          <w:tcPr>
            <w:tcW w:w="990" w:type="dxa"/>
            <w:vAlign w:val="center"/>
          </w:tcPr>
          <w:p w14:paraId="10E08A42" w14:textId="77777777" w:rsidR="00EB07AB" w:rsidRPr="004024BD" w:rsidRDefault="00EB07AB" w:rsidP="00FD3D1D">
            <w:pPr>
              <w:jc w:val="right"/>
              <w:rPr>
                <w:rFonts w:ascii="Arial" w:hAnsi="Arial" w:cs="Arial"/>
                <w:sz w:val="20"/>
                <w:szCs w:val="20"/>
                <w:lang w:val="mn-MN"/>
              </w:rPr>
            </w:pPr>
            <w:r w:rsidRPr="004024BD">
              <w:rPr>
                <w:rFonts w:ascii="Arial" w:hAnsi="Arial" w:cs="Arial"/>
                <w:sz w:val="20"/>
                <w:szCs w:val="20"/>
                <w:lang w:val="mn-MN"/>
              </w:rPr>
              <w:t>26.5</w:t>
            </w:r>
          </w:p>
        </w:tc>
      </w:tr>
      <w:tr w:rsidR="00EB07AB" w:rsidRPr="004024BD" w14:paraId="53F8FC90" w14:textId="77777777" w:rsidTr="00FD3D1D">
        <w:trPr>
          <w:trHeight w:val="278"/>
        </w:trPr>
        <w:tc>
          <w:tcPr>
            <w:tcW w:w="8730" w:type="dxa"/>
            <w:gridSpan w:val="5"/>
            <w:vAlign w:val="center"/>
          </w:tcPr>
          <w:p w14:paraId="4C8EBEE9" w14:textId="77777777" w:rsidR="00EB07AB" w:rsidRPr="004024BD" w:rsidRDefault="00EB07AB" w:rsidP="00FD3D1D">
            <w:pPr>
              <w:jc w:val="center"/>
              <w:rPr>
                <w:rFonts w:ascii="Arial" w:hAnsi="Arial" w:cs="Arial"/>
                <w:b/>
                <w:sz w:val="20"/>
                <w:szCs w:val="20"/>
                <w:lang w:val="mn-MN"/>
              </w:rPr>
            </w:pPr>
            <w:r w:rsidRPr="004024BD">
              <w:rPr>
                <w:rFonts w:ascii="Arial" w:hAnsi="Arial" w:cs="Arial"/>
                <w:b/>
                <w:sz w:val="20"/>
                <w:szCs w:val="20"/>
                <w:lang w:val="mn-MN"/>
              </w:rPr>
              <w:t>НИЙТ</w:t>
            </w:r>
          </w:p>
        </w:tc>
        <w:tc>
          <w:tcPr>
            <w:tcW w:w="990" w:type="dxa"/>
            <w:vAlign w:val="center"/>
          </w:tcPr>
          <w:p w14:paraId="1B3ED188" w14:textId="77777777" w:rsidR="00EB07AB" w:rsidRPr="004024BD" w:rsidRDefault="00EB07AB" w:rsidP="00FD3D1D">
            <w:pPr>
              <w:jc w:val="right"/>
              <w:rPr>
                <w:rFonts w:ascii="Arial" w:hAnsi="Arial" w:cs="Arial"/>
                <w:b/>
                <w:sz w:val="20"/>
                <w:szCs w:val="20"/>
                <w:lang w:val="mn-MN"/>
              </w:rPr>
            </w:pPr>
            <w:r w:rsidRPr="004024BD">
              <w:rPr>
                <w:rFonts w:ascii="Arial" w:hAnsi="Arial" w:cs="Arial"/>
                <w:b/>
                <w:sz w:val="20"/>
                <w:szCs w:val="20"/>
                <w:lang w:val="mn-MN"/>
              </w:rPr>
              <w:t>876.5</w:t>
            </w:r>
          </w:p>
        </w:tc>
      </w:tr>
    </w:tbl>
    <w:p w14:paraId="11FDF5F5" w14:textId="77777777" w:rsidR="00EB07AB" w:rsidRPr="004024BD" w:rsidRDefault="00EB07AB" w:rsidP="00EB07AB">
      <w:pPr>
        <w:jc w:val="both"/>
        <w:rPr>
          <w:rFonts w:ascii="Arial" w:hAnsi="Arial" w:cs="Arial"/>
          <w:lang w:val="mn-MN"/>
        </w:rPr>
      </w:pPr>
      <w:r w:rsidRPr="004024BD">
        <w:rPr>
          <w:rFonts w:ascii="Arial" w:hAnsi="Arial" w:cs="Arial"/>
          <w:i/>
          <w:lang w:val="mn-MN"/>
        </w:rPr>
        <w:t xml:space="preserve"> </w:t>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t xml:space="preserve">          Эх сурвалж: Сангийн яам      </w:t>
      </w:r>
    </w:p>
    <w:p w14:paraId="56D18315" w14:textId="77777777" w:rsidR="00EB07AB" w:rsidRPr="004024BD" w:rsidRDefault="00EB07AB" w:rsidP="00EB07AB">
      <w:pPr>
        <w:spacing w:after="0" w:line="240" w:lineRule="auto"/>
        <w:ind w:firstLine="357"/>
        <w:jc w:val="both"/>
        <w:rPr>
          <w:rFonts w:ascii="Arial" w:hAnsi="Arial" w:cs="Arial"/>
          <w:sz w:val="24"/>
          <w:szCs w:val="24"/>
          <w:lang w:val="mn-MN"/>
        </w:rPr>
      </w:pPr>
      <w:r w:rsidRPr="004024BD">
        <w:rPr>
          <w:rFonts w:ascii="Arial" w:hAnsi="Arial" w:cs="Arial"/>
          <w:lang w:val="mn-MN"/>
        </w:rPr>
        <w:lastRenderedPageBreak/>
        <w:tab/>
      </w:r>
      <w:r w:rsidRPr="004024BD">
        <w:rPr>
          <w:rFonts w:ascii="Arial" w:hAnsi="Arial" w:cs="Arial"/>
          <w:sz w:val="24"/>
          <w:szCs w:val="24"/>
          <w:lang w:val="mn-MN"/>
        </w:rPr>
        <w:t>Засгийн газрын өрийн баталгааны үлдэгдлийн 78.0 хувийг Монгол Улсын Хөгжлийн банкны 30.0 тэрбум иений “Самурай” бондын төлбөр эзэлж байгаа бөгөөд 2023 онд төлөгдөх хуваарьтай бол “МИАТ” ХК-ийн зээл 2023 онд, Монгол Улсын Хөгжлийн банкны Хятадын Хөгжлийн банкнаас авч ашигласан зээл 2022 онд, “Эрдэнэс Монгол” ХХК-ийн техник, туслалцааны зээл 2031 онд тус тус төлөгдөж дуусах хуваарьтай байна.</w:t>
      </w:r>
    </w:p>
    <w:p w14:paraId="3E9E969E" w14:textId="77777777" w:rsidR="00EB07AB" w:rsidRPr="004024BD" w:rsidRDefault="00EB07AB" w:rsidP="00EB07AB">
      <w:pPr>
        <w:spacing w:after="0" w:line="240" w:lineRule="auto"/>
        <w:ind w:firstLine="360"/>
        <w:jc w:val="both"/>
        <w:rPr>
          <w:rFonts w:ascii="Arial" w:hAnsi="Arial" w:cs="Arial"/>
          <w:sz w:val="24"/>
          <w:szCs w:val="24"/>
          <w:lang w:val="mn-MN"/>
        </w:rPr>
      </w:pPr>
    </w:p>
    <w:p w14:paraId="65050B01" w14:textId="77777777" w:rsidR="00EB07AB" w:rsidRPr="004024BD" w:rsidRDefault="00EB07AB" w:rsidP="00EB07AB">
      <w:pPr>
        <w:pStyle w:val="Heading3"/>
        <w:spacing w:before="0" w:line="240" w:lineRule="auto"/>
        <w:ind w:firstLine="720"/>
      </w:pPr>
      <w:r w:rsidRPr="004024BD">
        <w:rPr>
          <w:rFonts w:ascii="Arial" w:hAnsi="Arial" w:cs="Arial"/>
          <w:b/>
          <w:color w:val="auto"/>
        </w:rPr>
        <w:t>1.2.5.“Барих-Шилжүүлэх” төрлийн концесс</w:t>
      </w:r>
    </w:p>
    <w:p w14:paraId="0D841CE1" w14:textId="77777777" w:rsidR="00EB07AB" w:rsidRPr="004024BD" w:rsidRDefault="00EB07AB" w:rsidP="00EB07AB">
      <w:pPr>
        <w:spacing w:after="0" w:line="240" w:lineRule="auto"/>
        <w:ind w:firstLine="360"/>
        <w:jc w:val="both"/>
        <w:rPr>
          <w:rFonts w:ascii="Arial" w:hAnsi="Arial" w:cs="Arial"/>
          <w:sz w:val="24"/>
          <w:szCs w:val="24"/>
          <w:lang w:val="mn-MN"/>
        </w:rPr>
      </w:pPr>
      <w:r w:rsidRPr="004024BD">
        <w:rPr>
          <w:rFonts w:ascii="Arial" w:hAnsi="Arial" w:cs="Arial"/>
          <w:sz w:val="24"/>
          <w:szCs w:val="24"/>
          <w:lang w:val="mn-MN"/>
        </w:rPr>
        <w:tab/>
      </w:r>
    </w:p>
    <w:p w14:paraId="20548C5A" w14:textId="77777777" w:rsidR="00EB07AB" w:rsidRPr="004024BD" w:rsidRDefault="00EB07AB" w:rsidP="00EB07AB">
      <w:pPr>
        <w:spacing w:after="0" w:line="240" w:lineRule="auto"/>
        <w:ind w:firstLine="720"/>
        <w:jc w:val="both"/>
        <w:rPr>
          <w:rFonts w:ascii="Arial" w:hAnsi="Arial" w:cs="Arial"/>
          <w:sz w:val="24"/>
          <w:szCs w:val="24"/>
          <w:lang w:val="mn-MN"/>
        </w:rPr>
      </w:pPr>
      <w:r w:rsidRPr="004024BD">
        <w:rPr>
          <w:rFonts w:ascii="Arial" w:hAnsi="Arial" w:cs="Arial"/>
          <w:sz w:val="24"/>
          <w:szCs w:val="24"/>
          <w:lang w:val="mn-MN"/>
        </w:rPr>
        <w:t>Өрийн удирдлагын тухай хуулийн 40 дүгээр зүйлийн 40.7 дахь хэсэгт “Улсын болон орон нутгийн төсвөөс эргэн төлөгдөх нөхцөлтэй концессын гэрээг хүчин төгөлдөр болсон өдрөөр өрийн мэдээллийн нэгдсэн санд оруулж, концессын гэрээний дагуу улирал бүр гарсан ашиглалтыг үндэслэж Засгийн газрын өрд бүртгэнэ” гэж заасны дагуу Сангийн яам нь концессын асуудал эрхэлсэн төрийн захиргааны төв байгууллага болон орон нутгийн засаг захиргааны байгууллагуудаас улирал бүр ашиглалт, гүйцэтгэлийн мэдээллийг авч нэгтгэн Засгийн газрын өрд бүртгэж байна.</w:t>
      </w:r>
    </w:p>
    <w:p w14:paraId="66991D67" w14:textId="77777777" w:rsidR="00EB07AB" w:rsidRPr="004024BD" w:rsidRDefault="00EB07AB" w:rsidP="00EB07AB">
      <w:pPr>
        <w:spacing w:after="0" w:line="240" w:lineRule="auto"/>
        <w:ind w:firstLine="360"/>
        <w:jc w:val="both"/>
        <w:rPr>
          <w:rFonts w:ascii="Arial" w:hAnsi="Arial" w:cs="Arial"/>
          <w:sz w:val="24"/>
          <w:szCs w:val="24"/>
          <w:lang w:val="mn-MN"/>
        </w:rPr>
      </w:pPr>
    </w:p>
    <w:p w14:paraId="1B09E7EA" w14:textId="77777777" w:rsidR="00EB07AB" w:rsidRPr="004024BD" w:rsidRDefault="00EB07AB" w:rsidP="00EB07AB">
      <w:pPr>
        <w:spacing w:after="0" w:line="240" w:lineRule="auto"/>
        <w:ind w:firstLine="360"/>
        <w:jc w:val="both"/>
        <w:rPr>
          <w:rFonts w:ascii="Arial" w:hAnsi="Arial" w:cs="Arial"/>
          <w:i/>
          <w:lang w:val="mn-MN"/>
        </w:rPr>
      </w:pPr>
      <w:r w:rsidRPr="004024BD">
        <w:rPr>
          <w:rFonts w:ascii="Arial" w:hAnsi="Arial" w:cs="Arial"/>
          <w:i/>
          <w:lang w:val="mn-MN"/>
        </w:rPr>
        <w:tab/>
        <w:t xml:space="preserve">График №5: Барих-Шилжүүлэх төрлийн концесс, 2017-2021 </w:t>
      </w:r>
      <w:r w:rsidRPr="004024BD">
        <w:rPr>
          <w:rFonts w:ascii="Arial" w:hAnsi="Arial" w:cs="Arial"/>
          <w:i/>
          <w:lang w:val="mn-MN"/>
        </w:rPr>
        <w:tab/>
        <w:t xml:space="preserve">    </w:t>
      </w:r>
    </w:p>
    <w:p w14:paraId="6612BA45" w14:textId="77777777" w:rsidR="00EB07AB" w:rsidRPr="004024BD" w:rsidRDefault="00EB07AB" w:rsidP="00EB07AB">
      <w:pPr>
        <w:spacing w:after="0" w:line="240" w:lineRule="auto"/>
        <w:ind w:firstLine="360"/>
        <w:jc w:val="both"/>
        <w:rPr>
          <w:rFonts w:ascii="Arial" w:hAnsi="Arial" w:cs="Arial"/>
          <w:i/>
          <w:lang w:val="mn-MN"/>
        </w:rPr>
      </w:pPr>
      <w:r w:rsidRPr="004024BD">
        <w:rPr>
          <w:rFonts w:ascii="Arial" w:hAnsi="Arial" w:cs="Arial"/>
          <w:noProof/>
          <w:lang w:val="mn-MN"/>
        </w:rPr>
        <w:drawing>
          <wp:anchor distT="0" distB="0" distL="114300" distR="114300" simplePos="0" relativeHeight="251663360" behindDoc="0" locked="0" layoutInCell="1" allowOverlap="1" wp14:anchorId="57E6D271" wp14:editId="4D24288B">
            <wp:simplePos x="0" y="0"/>
            <wp:positionH relativeFrom="column">
              <wp:posOffset>241300</wp:posOffset>
            </wp:positionH>
            <wp:positionV relativeFrom="paragraph">
              <wp:posOffset>221200</wp:posOffset>
            </wp:positionV>
            <wp:extent cx="5780405" cy="1645920"/>
            <wp:effectExtent l="0" t="0" r="10795" b="17780"/>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4024BD">
        <w:rPr>
          <w:rFonts w:ascii="Arial" w:hAnsi="Arial" w:cs="Arial"/>
          <w:i/>
          <w:lang w:val="mn-MN"/>
        </w:rPr>
        <w:t xml:space="preserve">   </w:t>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r>
      <w:r w:rsidRPr="004024BD">
        <w:rPr>
          <w:rFonts w:ascii="Arial" w:hAnsi="Arial" w:cs="Arial"/>
          <w:i/>
          <w:lang w:val="mn-MN"/>
        </w:rPr>
        <w:tab/>
        <w:t xml:space="preserve">       /тэрбум төгрөг/</w:t>
      </w:r>
    </w:p>
    <w:p w14:paraId="7780E718" w14:textId="77777777" w:rsidR="00EB07AB" w:rsidRPr="004024BD" w:rsidRDefault="00EB07AB" w:rsidP="00EB07AB">
      <w:pPr>
        <w:pStyle w:val="ListParagraph"/>
        <w:spacing w:after="0" w:line="240" w:lineRule="auto"/>
        <w:ind w:left="5760" w:firstLine="720"/>
        <w:jc w:val="both"/>
        <w:rPr>
          <w:rFonts w:ascii="Arial" w:hAnsi="Arial" w:cs="Arial"/>
          <w:i/>
          <w:lang w:val="mn-MN"/>
        </w:rPr>
      </w:pPr>
      <w:r w:rsidRPr="004024BD">
        <w:rPr>
          <w:rFonts w:ascii="Arial" w:hAnsi="Arial" w:cs="Arial"/>
          <w:i/>
          <w:lang w:val="mn-MN"/>
        </w:rPr>
        <w:t xml:space="preserve">      Эх сурвалж: Сангийн яам</w:t>
      </w:r>
    </w:p>
    <w:p w14:paraId="272E717E" w14:textId="77777777" w:rsidR="00EB07AB" w:rsidRPr="004024BD" w:rsidRDefault="00EB07AB" w:rsidP="00EB07AB">
      <w:pPr>
        <w:pStyle w:val="ListParagraph"/>
        <w:spacing w:after="0" w:line="240" w:lineRule="auto"/>
        <w:ind w:left="5760" w:firstLine="720"/>
        <w:jc w:val="both"/>
        <w:rPr>
          <w:rFonts w:ascii="Arial" w:hAnsi="Arial" w:cs="Arial"/>
          <w:lang w:val="mn-MN"/>
        </w:rPr>
      </w:pPr>
    </w:p>
    <w:p w14:paraId="3BC4A64C" w14:textId="77777777" w:rsidR="00EB07AB" w:rsidRPr="004024BD" w:rsidRDefault="00EB07AB" w:rsidP="00EB07AB">
      <w:pPr>
        <w:pStyle w:val="ListParagraph"/>
        <w:spacing w:after="0" w:line="240" w:lineRule="auto"/>
        <w:ind w:left="0" w:firstLine="720"/>
        <w:jc w:val="both"/>
        <w:rPr>
          <w:rFonts w:ascii="Arial" w:hAnsi="Arial" w:cs="Arial"/>
          <w:sz w:val="24"/>
          <w:szCs w:val="24"/>
          <w:lang w:val="mn-MN"/>
        </w:rPr>
      </w:pPr>
      <w:r w:rsidRPr="004024BD">
        <w:rPr>
          <w:rFonts w:ascii="Arial" w:hAnsi="Arial" w:cs="Arial"/>
          <w:sz w:val="24"/>
          <w:szCs w:val="24"/>
          <w:lang w:val="mn-MN"/>
        </w:rPr>
        <w:t>Улсын болон орон нутгийн төсвөөс эргэн төлөх нөхцөлтэй концессын өрийн үлдэгдэл 2021 оны эцсийн байдлаар 673.5 тэрбум төгрөгт хүрч, өмнөх оны мөн үеэс 176.7 тэрбум төгрөгөөр буурсан. Үүнээс улсын төсвөөс эргэн төлөгдөх нийт 10 гэрээний өрийн үлдэгдэл 673.5 тэрбум төгрөг, орон нутгийн төсвөөс эргэн төлөгдөх нийт 3 гэрээний өрийн үлдэгдэл 0.4 тэрбум төгрөгтэй тэнцэж байна.</w:t>
      </w:r>
    </w:p>
    <w:p w14:paraId="022C7BF1" w14:textId="77777777" w:rsidR="00EB07AB" w:rsidRPr="004024BD" w:rsidRDefault="00EB07AB" w:rsidP="00EB07AB">
      <w:pPr>
        <w:pStyle w:val="ListParagraph"/>
        <w:spacing w:after="0" w:line="240" w:lineRule="auto"/>
        <w:ind w:left="0"/>
        <w:jc w:val="both"/>
        <w:rPr>
          <w:rFonts w:ascii="Arial" w:hAnsi="Arial" w:cs="Arial"/>
          <w:sz w:val="24"/>
          <w:szCs w:val="24"/>
          <w:lang w:val="mn-MN"/>
        </w:rPr>
      </w:pPr>
    </w:p>
    <w:p w14:paraId="7F9B8737" w14:textId="77777777" w:rsidR="00EB07AB" w:rsidRPr="004024BD" w:rsidRDefault="00EB07AB" w:rsidP="00EB07AB">
      <w:pPr>
        <w:pStyle w:val="ListParagraph"/>
        <w:spacing w:after="0" w:line="240" w:lineRule="auto"/>
        <w:ind w:left="0"/>
        <w:jc w:val="both"/>
        <w:rPr>
          <w:rFonts w:ascii="Arial" w:hAnsi="Arial" w:cs="Arial"/>
          <w:sz w:val="24"/>
          <w:szCs w:val="24"/>
          <w:lang w:val="mn-MN"/>
        </w:rPr>
        <w:sectPr w:rsidR="00EB07AB" w:rsidRPr="004024BD" w:rsidSect="00CE57EA">
          <w:type w:val="continuous"/>
          <w:pgSz w:w="11906" w:h="16838" w:code="9"/>
          <w:pgMar w:top="1134" w:right="851" w:bottom="854" w:left="1247" w:header="720" w:footer="567" w:gutter="0"/>
          <w:cols w:space="720"/>
          <w:docGrid w:linePitch="360"/>
        </w:sectPr>
      </w:pPr>
    </w:p>
    <w:p w14:paraId="0C9F51CE" w14:textId="77777777" w:rsidR="00EB07AB" w:rsidRPr="004024BD" w:rsidRDefault="00EB07AB" w:rsidP="00EB07AB">
      <w:pPr>
        <w:spacing w:after="0" w:line="240" w:lineRule="auto"/>
        <w:jc w:val="center"/>
        <w:rPr>
          <w:rFonts w:ascii="Arial" w:hAnsi="Arial" w:cs="Arial"/>
          <w:b/>
          <w:sz w:val="24"/>
          <w:szCs w:val="24"/>
          <w:lang w:val="mn-MN"/>
        </w:rPr>
      </w:pPr>
      <w:r w:rsidRPr="004024BD">
        <w:rPr>
          <w:rFonts w:ascii="Arial" w:hAnsi="Arial" w:cs="Arial"/>
          <w:b/>
          <w:sz w:val="24"/>
          <w:szCs w:val="24"/>
          <w:lang w:val="mn-MN"/>
        </w:rPr>
        <w:t>2.САНХҮҮЖИЛТИЙН БОЛОМЖИТ ЭХ ҮҮСВЭР</w:t>
      </w:r>
    </w:p>
    <w:p w14:paraId="571209F3" w14:textId="77777777" w:rsidR="00EB07AB" w:rsidRPr="004024BD" w:rsidRDefault="00EB07AB" w:rsidP="00EB07AB">
      <w:pPr>
        <w:spacing w:after="0" w:line="240" w:lineRule="auto"/>
        <w:jc w:val="center"/>
        <w:rPr>
          <w:rFonts w:ascii="Arial" w:hAnsi="Arial" w:cs="Arial"/>
          <w:b/>
          <w:sz w:val="24"/>
          <w:szCs w:val="24"/>
          <w:lang w:val="mn-MN"/>
        </w:rPr>
      </w:pPr>
    </w:p>
    <w:p w14:paraId="6A149F5E" w14:textId="77777777" w:rsidR="00EB07AB" w:rsidRPr="004024BD" w:rsidRDefault="00EB07AB" w:rsidP="00EB07AB">
      <w:pPr>
        <w:pStyle w:val="Heading1"/>
        <w:sectPr w:rsidR="00EB07AB" w:rsidRPr="004024BD" w:rsidSect="002A2F8C">
          <w:type w:val="continuous"/>
          <w:pgSz w:w="11906" w:h="16838" w:code="9"/>
          <w:pgMar w:top="1134" w:right="851" w:bottom="851" w:left="1247" w:header="720" w:footer="720" w:gutter="0"/>
          <w:pgNumType w:start="0"/>
          <w:cols w:space="720"/>
          <w:titlePg/>
          <w:docGrid w:linePitch="360"/>
        </w:sectPr>
      </w:pPr>
    </w:p>
    <w:p w14:paraId="3432CF29" w14:textId="77777777" w:rsidR="00EB07AB" w:rsidRPr="004024BD" w:rsidRDefault="00EB07AB" w:rsidP="00EB07AB">
      <w:pPr>
        <w:pStyle w:val="NoSpacing"/>
        <w:spacing w:after="0" w:line="240" w:lineRule="auto"/>
        <w:ind w:left="720"/>
        <w:rPr>
          <w:rFonts w:ascii="Arial" w:hAnsi="Arial" w:cs="Arial"/>
          <w:b/>
          <w:sz w:val="24"/>
          <w:szCs w:val="24"/>
        </w:rPr>
      </w:pPr>
      <w:r w:rsidRPr="004024BD">
        <w:rPr>
          <w:rFonts w:ascii="Arial" w:hAnsi="Arial" w:cs="Arial"/>
          <w:b/>
          <w:sz w:val="24"/>
          <w:szCs w:val="24"/>
        </w:rPr>
        <w:t>2.1.Засгийн газрын гадаад зээлийн эх үүсвэр</w:t>
      </w:r>
    </w:p>
    <w:p w14:paraId="1C4234F5" w14:textId="77777777" w:rsidR="00EB07AB" w:rsidRPr="004024BD" w:rsidRDefault="00EB07AB" w:rsidP="00EB07AB">
      <w:pPr>
        <w:pStyle w:val="NoSpacing"/>
        <w:spacing w:after="0" w:line="240" w:lineRule="auto"/>
        <w:ind w:left="720"/>
        <w:rPr>
          <w:rFonts w:ascii="Arial" w:hAnsi="Arial" w:cs="Arial"/>
          <w:b/>
          <w:sz w:val="24"/>
          <w:szCs w:val="24"/>
        </w:rPr>
      </w:pPr>
    </w:p>
    <w:p w14:paraId="32F66569"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Засгийн газар 2017 оноос эхлэн Төрийн сангийн мөнгөн хөрөнгийн болон өрийн удирдлагыг сайжруулах зорилтын хүрээнд өндөр хүүтэй, богино хугацаатай арилжааны зээллэгээс татгалзаж, урт хугацаатай, хөнгөлөлттэй нөхцөлтэй гадаад зээлийг төсвийн санхүүжилтэд түлхүү авч ашиглаж эхэлсэн.</w:t>
      </w:r>
    </w:p>
    <w:p w14:paraId="319D2EC8" w14:textId="77777777" w:rsidR="00EB07AB" w:rsidRPr="004024BD" w:rsidRDefault="00EB07AB" w:rsidP="00EB07AB">
      <w:pPr>
        <w:pStyle w:val="NoSpacing"/>
        <w:spacing w:after="0" w:line="240" w:lineRule="auto"/>
        <w:rPr>
          <w:rFonts w:ascii="Arial" w:hAnsi="Arial" w:cs="Arial"/>
          <w:sz w:val="24"/>
          <w:szCs w:val="24"/>
        </w:rPr>
      </w:pPr>
    </w:p>
    <w:p w14:paraId="76188CFD"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Засгийн газрын өрийн удирдлагын 2019-2022 оны стратегийн баримт бичгийн хэрэгжилтийн хугацаанд Засгийн газрын санхүүжилтийн хэрэгцээний дийлэнх хувийг гадаад, хөнгөлөлттэй нөхцөлтэй зээлийн эх үүсвэрээр санхүүжүүлсээр ирсэн бол 2022 онд гадаад, хөнгөлөлттэй нөхцөлтэй зээлийн эх үүсвэрийг үргэлжлүүлэн ашиглахаар төлөвлөсөн.</w:t>
      </w:r>
    </w:p>
    <w:p w14:paraId="26E5BA0D" w14:textId="77777777" w:rsidR="00EB07AB" w:rsidRPr="004024BD" w:rsidRDefault="00EB07AB" w:rsidP="00EB07AB">
      <w:pPr>
        <w:pStyle w:val="NoSpacing"/>
        <w:spacing w:after="0" w:line="240" w:lineRule="auto"/>
        <w:rPr>
          <w:i/>
        </w:rPr>
        <w:sectPr w:rsidR="00EB07AB" w:rsidRPr="004024BD" w:rsidSect="002A2F8C">
          <w:type w:val="continuous"/>
          <w:pgSz w:w="11906" w:h="16838" w:code="9"/>
          <w:pgMar w:top="1134" w:right="851" w:bottom="851" w:left="1247" w:header="720" w:footer="720" w:gutter="0"/>
          <w:pgNumType w:start="0"/>
          <w:cols w:space="720"/>
          <w:titlePg/>
          <w:docGrid w:linePitch="360"/>
        </w:sectPr>
      </w:pPr>
    </w:p>
    <w:p w14:paraId="561F4D2D" w14:textId="77777777" w:rsidR="00EB07AB" w:rsidRPr="004024BD" w:rsidRDefault="00EB07AB" w:rsidP="00EB07AB">
      <w:pPr>
        <w:pStyle w:val="Caption"/>
        <w:keepNext/>
        <w:spacing w:after="0"/>
        <w:ind w:firstLine="720"/>
        <w:rPr>
          <w:rFonts w:ascii="Arial" w:hAnsi="Arial" w:cs="Arial"/>
          <w:color w:val="auto"/>
          <w:sz w:val="22"/>
          <w:szCs w:val="22"/>
          <w:lang w:val="mn-MN"/>
        </w:rPr>
      </w:pPr>
      <w:r w:rsidRPr="004024BD">
        <w:rPr>
          <w:rFonts w:ascii="Arial" w:hAnsi="Arial" w:cs="Arial"/>
          <w:color w:val="auto"/>
          <w:sz w:val="22"/>
          <w:szCs w:val="22"/>
          <w:lang w:val="mn-MN"/>
        </w:rPr>
        <w:lastRenderedPageBreak/>
        <w:t>Хүснэгт</w:t>
      </w:r>
      <w:r w:rsidRPr="004024BD" w:rsidDel="00315F1E">
        <w:rPr>
          <w:rFonts w:ascii="Arial" w:hAnsi="Arial" w:cs="Arial"/>
          <w:color w:val="auto"/>
          <w:sz w:val="22"/>
          <w:szCs w:val="22"/>
          <w:lang w:val="mn-MN"/>
        </w:rPr>
        <w:t xml:space="preserve"> </w:t>
      </w:r>
      <w:r w:rsidRPr="004024BD">
        <w:rPr>
          <w:rFonts w:ascii="Arial" w:hAnsi="Arial" w:cs="Arial"/>
          <w:color w:val="auto"/>
          <w:sz w:val="22"/>
          <w:szCs w:val="22"/>
          <w:lang w:val="mn-MN"/>
        </w:rPr>
        <w:t>№7: Шинээр татсан эх үүсвэрийн хэмжээ, 2019-2021 он</w:t>
      </w:r>
    </w:p>
    <w:p w14:paraId="09E0A9FE" w14:textId="77777777" w:rsidR="00EB07AB" w:rsidRPr="004024BD" w:rsidRDefault="00EB07AB" w:rsidP="00EB07AB">
      <w:pPr>
        <w:pStyle w:val="Caption"/>
        <w:keepNext/>
        <w:spacing w:after="0"/>
        <w:ind w:left="720"/>
        <w:rPr>
          <w:rFonts w:ascii="Arial" w:hAnsi="Arial" w:cs="Arial"/>
          <w:color w:val="auto"/>
          <w:sz w:val="22"/>
          <w:szCs w:val="22"/>
          <w:lang w:val="mn-MN"/>
        </w:rPr>
      </w:pPr>
      <w:r w:rsidRPr="004024BD">
        <w:rPr>
          <w:rFonts w:ascii="Arial" w:hAnsi="Arial" w:cs="Arial"/>
          <w:color w:val="auto"/>
          <w:sz w:val="22"/>
          <w:szCs w:val="22"/>
          <w:lang w:val="mn-MN"/>
        </w:rPr>
        <w:tab/>
      </w:r>
      <w:r w:rsidRPr="004024BD">
        <w:rPr>
          <w:rFonts w:ascii="Arial" w:hAnsi="Arial" w:cs="Arial"/>
          <w:color w:val="auto"/>
          <w:sz w:val="22"/>
          <w:szCs w:val="22"/>
          <w:lang w:val="mn-MN"/>
        </w:rPr>
        <w:tab/>
      </w:r>
      <w:r w:rsidRPr="004024BD">
        <w:rPr>
          <w:rFonts w:ascii="Arial" w:hAnsi="Arial" w:cs="Arial"/>
          <w:color w:val="auto"/>
          <w:sz w:val="22"/>
          <w:szCs w:val="22"/>
          <w:lang w:val="mn-MN"/>
        </w:rPr>
        <w:tab/>
      </w:r>
      <w:r w:rsidRPr="004024BD">
        <w:rPr>
          <w:rFonts w:ascii="Arial" w:hAnsi="Arial" w:cs="Arial"/>
          <w:color w:val="auto"/>
          <w:sz w:val="22"/>
          <w:szCs w:val="22"/>
          <w:lang w:val="mn-MN"/>
        </w:rPr>
        <w:tab/>
      </w:r>
      <w:r w:rsidRPr="004024BD">
        <w:rPr>
          <w:rFonts w:ascii="Arial" w:hAnsi="Arial" w:cs="Arial"/>
          <w:color w:val="auto"/>
          <w:sz w:val="22"/>
          <w:szCs w:val="22"/>
          <w:lang w:val="mn-MN"/>
        </w:rPr>
        <w:tab/>
      </w:r>
      <w:r w:rsidRPr="004024BD">
        <w:rPr>
          <w:rFonts w:ascii="Arial" w:hAnsi="Arial" w:cs="Arial"/>
          <w:color w:val="auto"/>
          <w:sz w:val="22"/>
          <w:szCs w:val="22"/>
          <w:lang w:val="mn-MN"/>
        </w:rPr>
        <w:tab/>
      </w:r>
      <w:r w:rsidRPr="004024BD">
        <w:rPr>
          <w:rFonts w:ascii="Arial" w:hAnsi="Arial" w:cs="Arial"/>
          <w:color w:val="auto"/>
          <w:sz w:val="22"/>
          <w:szCs w:val="22"/>
          <w:lang w:val="mn-MN"/>
        </w:rPr>
        <w:tab/>
      </w:r>
      <w:r w:rsidRPr="004024BD">
        <w:rPr>
          <w:rFonts w:ascii="Arial" w:hAnsi="Arial" w:cs="Arial"/>
          <w:color w:val="auto"/>
          <w:sz w:val="22"/>
          <w:szCs w:val="22"/>
          <w:lang w:val="mn-MN"/>
        </w:rPr>
        <w:tab/>
        <w:t xml:space="preserve">                     /тэрбум төгрөг/</w:t>
      </w:r>
    </w:p>
    <w:tbl>
      <w:tblPr>
        <w:tblStyle w:val="TableGrid"/>
        <w:tblW w:w="9263" w:type="dxa"/>
        <w:jc w:val="center"/>
        <w:tblLook w:val="04A0" w:firstRow="1" w:lastRow="0" w:firstColumn="1" w:lastColumn="0" w:noHBand="0" w:noVBand="1"/>
      </w:tblPr>
      <w:tblGrid>
        <w:gridCol w:w="4599"/>
        <w:gridCol w:w="1588"/>
        <w:gridCol w:w="1538"/>
        <w:gridCol w:w="1538"/>
      </w:tblGrid>
      <w:tr w:rsidR="00EB07AB" w:rsidRPr="004024BD" w14:paraId="67BA2079" w14:textId="77777777" w:rsidTr="00FD3D1D">
        <w:trPr>
          <w:trHeight w:val="260"/>
          <w:jc w:val="center"/>
        </w:trPr>
        <w:tc>
          <w:tcPr>
            <w:tcW w:w="4599" w:type="dxa"/>
            <w:shd w:val="clear" w:color="auto" w:fill="1F3864" w:themeFill="accent1" w:themeFillShade="80"/>
            <w:noWrap/>
            <w:hideMark/>
          </w:tcPr>
          <w:p w14:paraId="0AE6254E" w14:textId="77777777" w:rsidR="00EB07AB" w:rsidRPr="004024BD" w:rsidRDefault="00EB07AB" w:rsidP="00FD3D1D">
            <w:pPr>
              <w:jc w:val="center"/>
              <w:rPr>
                <w:rFonts w:ascii="Arial" w:eastAsia="Times New Roman" w:hAnsi="Arial" w:cs="Arial"/>
                <w:b/>
                <w:sz w:val="20"/>
                <w:szCs w:val="20"/>
                <w:lang w:val="mn-MN"/>
              </w:rPr>
            </w:pPr>
            <w:r w:rsidRPr="004024BD">
              <w:rPr>
                <w:rFonts w:ascii="Arial" w:eastAsia="Times New Roman" w:hAnsi="Arial" w:cs="Arial"/>
                <w:b/>
                <w:sz w:val="20"/>
                <w:szCs w:val="20"/>
                <w:lang w:val="mn-MN"/>
              </w:rPr>
              <w:t>Эх үүсвэр</w:t>
            </w:r>
          </w:p>
        </w:tc>
        <w:tc>
          <w:tcPr>
            <w:tcW w:w="1588" w:type="dxa"/>
            <w:shd w:val="clear" w:color="auto" w:fill="1F3864" w:themeFill="accent1" w:themeFillShade="80"/>
            <w:noWrap/>
            <w:hideMark/>
          </w:tcPr>
          <w:p w14:paraId="3A31E55F" w14:textId="77777777" w:rsidR="00EB07AB" w:rsidRPr="004024BD" w:rsidRDefault="00EB07AB" w:rsidP="00FD3D1D">
            <w:pPr>
              <w:jc w:val="center"/>
              <w:rPr>
                <w:rFonts w:ascii="Arial" w:eastAsia="Times New Roman" w:hAnsi="Arial" w:cs="Arial"/>
                <w:b/>
                <w:sz w:val="20"/>
                <w:szCs w:val="20"/>
                <w:lang w:val="mn-MN"/>
              </w:rPr>
            </w:pPr>
            <w:r w:rsidRPr="004024BD">
              <w:rPr>
                <w:rFonts w:ascii="Arial" w:eastAsia="Times New Roman" w:hAnsi="Arial" w:cs="Arial"/>
                <w:b/>
                <w:sz w:val="20"/>
                <w:szCs w:val="20"/>
                <w:lang w:val="mn-MN"/>
              </w:rPr>
              <w:t>2019</w:t>
            </w:r>
          </w:p>
        </w:tc>
        <w:tc>
          <w:tcPr>
            <w:tcW w:w="1538" w:type="dxa"/>
            <w:shd w:val="clear" w:color="auto" w:fill="1F3864" w:themeFill="accent1" w:themeFillShade="80"/>
            <w:noWrap/>
            <w:hideMark/>
          </w:tcPr>
          <w:p w14:paraId="273944A8" w14:textId="77777777" w:rsidR="00EB07AB" w:rsidRPr="004024BD" w:rsidRDefault="00EB07AB" w:rsidP="00FD3D1D">
            <w:pPr>
              <w:jc w:val="center"/>
              <w:rPr>
                <w:rFonts w:ascii="Arial" w:eastAsia="Times New Roman" w:hAnsi="Arial" w:cs="Arial"/>
                <w:b/>
                <w:sz w:val="20"/>
                <w:szCs w:val="20"/>
                <w:lang w:val="mn-MN"/>
              </w:rPr>
            </w:pPr>
            <w:r w:rsidRPr="004024BD">
              <w:rPr>
                <w:rFonts w:ascii="Arial" w:eastAsia="Times New Roman" w:hAnsi="Arial" w:cs="Arial"/>
                <w:b/>
                <w:sz w:val="20"/>
                <w:szCs w:val="20"/>
                <w:lang w:val="mn-MN"/>
              </w:rPr>
              <w:t>2020</w:t>
            </w:r>
          </w:p>
        </w:tc>
        <w:tc>
          <w:tcPr>
            <w:tcW w:w="1538" w:type="dxa"/>
            <w:shd w:val="clear" w:color="auto" w:fill="1F3864" w:themeFill="accent1" w:themeFillShade="80"/>
            <w:noWrap/>
            <w:hideMark/>
          </w:tcPr>
          <w:p w14:paraId="5B0B9E06" w14:textId="77777777" w:rsidR="00EB07AB" w:rsidRPr="004024BD" w:rsidRDefault="00EB07AB" w:rsidP="00FD3D1D">
            <w:pPr>
              <w:jc w:val="center"/>
              <w:rPr>
                <w:rFonts w:ascii="Arial" w:eastAsia="Times New Roman" w:hAnsi="Arial" w:cs="Arial"/>
                <w:b/>
                <w:sz w:val="20"/>
                <w:szCs w:val="20"/>
                <w:lang w:val="mn-MN"/>
              </w:rPr>
            </w:pPr>
            <w:r w:rsidRPr="004024BD">
              <w:rPr>
                <w:rFonts w:ascii="Arial" w:eastAsia="Times New Roman" w:hAnsi="Arial" w:cs="Arial"/>
                <w:b/>
                <w:sz w:val="20"/>
                <w:szCs w:val="20"/>
                <w:lang w:val="mn-MN"/>
              </w:rPr>
              <w:t>2021</w:t>
            </w:r>
          </w:p>
        </w:tc>
      </w:tr>
      <w:tr w:rsidR="00EB07AB" w:rsidRPr="004024BD" w14:paraId="47737C8F" w14:textId="77777777" w:rsidTr="00FD3D1D">
        <w:trPr>
          <w:trHeight w:val="260"/>
          <w:jc w:val="center"/>
        </w:trPr>
        <w:tc>
          <w:tcPr>
            <w:tcW w:w="4599" w:type="dxa"/>
            <w:noWrap/>
            <w:hideMark/>
          </w:tcPr>
          <w:p w14:paraId="6A7CA90E" w14:textId="77777777" w:rsidR="00EB07AB" w:rsidRPr="004024BD" w:rsidRDefault="00EB07AB" w:rsidP="00FD3D1D">
            <w:pPr>
              <w:ind w:firstLineChars="200" w:firstLine="400"/>
              <w:rPr>
                <w:rFonts w:ascii="Arial" w:eastAsia="Times New Roman" w:hAnsi="Arial" w:cs="Arial"/>
                <w:sz w:val="20"/>
                <w:szCs w:val="20"/>
                <w:lang w:val="mn-MN"/>
              </w:rPr>
            </w:pPr>
            <w:r w:rsidRPr="004024BD">
              <w:rPr>
                <w:rFonts w:ascii="Arial" w:eastAsia="Times New Roman" w:hAnsi="Arial" w:cs="Arial"/>
                <w:sz w:val="20"/>
                <w:szCs w:val="20"/>
                <w:lang w:val="mn-MN"/>
              </w:rPr>
              <w:t>Олон талт эх үүсвэр</w:t>
            </w:r>
          </w:p>
        </w:tc>
        <w:tc>
          <w:tcPr>
            <w:tcW w:w="1588" w:type="dxa"/>
            <w:noWrap/>
          </w:tcPr>
          <w:p w14:paraId="4B6E7BE4"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801.2</w:t>
            </w:r>
          </w:p>
        </w:tc>
        <w:tc>
          <w:tcPr>
            <w:tcW w:w="1538" w:type="dxa"/>
            <w:noWrap/>
          </w:tcPr>
          <w:p w14:paraId="6893B2B1"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2,030.4</w:t>
            </w:r>
          </w:p>
        </w:tc>
        <w:tc>
          <w:tcPr>
            <w:tcW w:w="1538" w:type="dxa"/>
            <w:noWrap/>
          </w:tcPr>
          <w:p w14:paraId="053B1A7A"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942.3</w:t>
            </w:r>
          </w:p>
        </w:tc>
      </w:tr>
      <w:tr w:rsidR="00EB07AB" w:rsidRPr="004024BD" w14:paraId="6B36C74E" w14:textId="77777777" w:rsidTr="00FD3D1D">
        <w:trPr>
          <w:trHeight w:val="260"/>
          <w:jc w:val="center"/>
        </w:trPr>
        <w:tc>
          <w:tcPr>
            <w:tcW w:w="4599" w:type="dxa"/>
            <w:noWrap/>
            <w:hideMark/>
          </w:tcPr>
          <w:p w14:paraId="347E434E" w14:textId="77777777" w:rsidR="00EB07AB" w:rsidRPr="004024BD" w:rsidRDefault="00EB07AB" w:rsidP="00FD3D1D">
            <w:pPr>
              <w:ind w:firstLineChars="200" w:firstLine="400"/>
              <w:rPr>
                <w:rFonts w:ascii="Arial" w:eastAsia="Times New Roman" w:hAnsi="Arial" w:cs="Arial"/>
                <w:sz w:val="20"/>
                <w:szCs w:val="20"/>
                <w:lang w:val="mn-MN"/>
              </w:rPr>
            </w:pPr>
            <w:r w:rsidRPr="004024BD">
              <w:rPr>
                <w:rFonts w:ascii="Arial" w:eastAsia="Times New Roman" w:hAnsi="Arial" w:cs="Arial"/>
                <w:sz w:val="20"/>
                <w:szCs w:val="20"/>
                <w:lang w:val="mn-MN"/>
              </w:rPr>
              <w:t>Хоёр талт эх үүсвэр</w:t>
            </w:r>
          </w:p>
        </w:tc>
        <w:tc>
          <w:tcPr>
            <w:tcW w:w="1588" w:type="dxa"/>
            <w:noWrap/>
          </w:tcPr>
          <w:p w14:paraId="6AE8DA81"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837.4</w:t>
            </w:r>
          </w:p>
        </w:tc>
        <w:tc>
          <w:tcPr>
            <w:tcW w:w="1538" w:type="dxa"/>
            <w:noWrap/>
          </w:tcPr>
          <w:p w14:paraId="02137889"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1,338.0</w:t>
            </w:r>
          </w:p>
        </w:tc>
        <w:tc>
          <w:tcPr>
            <w:tcW w:w="1538" w:type="dxa"/>
            <w:noWrap/>
          </w:tcPr>
          <w:p w14:paraId="4003C203"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449.1</w:t>
            </w:r>
          </w:p>
        </w:tc>
      </w:tr>
      <w:tr w:rsidR="00EB07AB" w:rsidRPr="004024BD" w14:paraId="60671C8F" w14:textId="77777777" w:rsidTr="00FD3D1D">
        <w:trPr>
          <w:trHeight w:val="260"/>
          <w:jc w:val="center"/>
        </w:trPr>
        <w:tc>
          <w:tcPr>
            <w:tcW w:w="4599" w:type="dxa"/>
            <w:shd w:val="clear" w:color="auto" w:fill="1F3864" w:themeFill="accent1" w:themeFillShade="80"/>
            <w:noWrap/>
            <w:hideMark/>
          </w:tcPr>
          <w:p w14:paraId="2F88E07E" w14:textId="77777777" w:rsidR="00EB07AB" w:rsidRPr="004024BD" w:rsidRDefault="00EB07AB" w:rsidP="00FD3D1D">
            <w:pPr>
              <w:jc w:val="center"/>
              <w:rPr>
                <w:rFonts w:ascii="Arial" w:eastAsia="Times New Roman" w:hAnsi="Arial" w:cs="Arial"/>
                <w:b/>
                <w:sz w:val="20"/>
                <w:szCs w:val="20"/>
                <w:lang w:val="mn-MN"/>
              </w:rPr>
            </w:pPr>
            <w:r w:rsidRPr="004024BD">
              <w:rPr>
                <w:rFonts w:ascii="Arial" w:eastAsia="Times New Roman" w:hAnsi="Arial" w:cs="Arial"/>
                <w:b/>
                <w:sz w:val="20"/>
                <w:szCs w:val="20"/>
                <w:lang w:val="mn-MN"/>
              </w:rPr>
              <w:t>НИЙТ</w:t>
            </w:r>
          </w:p>
        </w:tc>
        <w:tc>
          <w:tcPr>
            <w:tcW w:w="1588" w:type="dxa"/>
            <w:shd w:val="clear" w:color="auto" w:fill="1F3864" w:themeFill="accent1" w:themeFillShade="80"/>
            <w:noWrap/>
          </w:tcPr>
          <w:p w14:paraId="3118FDA4" w14:textId="77777777" w:rsidR="00EB07AB" w:rsidRPr="004024BD" w:rsidRDefault="00EB07AB" w:rsidP="00FD3D1D">
            <w:pPr>
              <w:jc w:val="right"/>
              <w:rPr>
                <w:rFonts w:ascii="Arial" w:eastAsia="Times New Roman" w:hAnsi="Arial" w:cs="Arial"/>
                <w:b/>
                <w:sz w:val="20"/>
                <w:szCs w:val="20"/>
                <w:highlight w:val="yellow"/>
                <w:lang w:val="mn-MN"/>
              </w:rPr>
            </w:pPr>
            <w:r w:rsidRPr="004024BD">
              <w:rPr>
                <w:rFonts w:ascii="Arial" w:eastAsia="Times New Roman" w:hAnsi="Arial" w:cs="Arial"/>
                <w:b/>
                <w:sz w:val="20"/>
                <w:szCs w:val="20"/>
                <w:lang w:val="mn-MN"/>
              </w:rPr>
              <w:t>1,638.6</w:t>
            </w:r>
          </w:p>
        </w:tc>
        <w:tc>
          <w:tcPr>
            <w:tcW w:w="1538" w:type="dxa"/>
            <w:shd w:val="clear" w:color="auto" w:fill="1F3864" w:themeFill="accent1" w:themeFillShade="80"/>
            <w:noWrap/>
          </w:tcPr>
          <w:p w14:paraId="26C75B70" w14:textId="77777777" w:rsidR="00EB07AB" w:rsidRPr="004024BD" w:rsidRDefault="00EB07AB" w:rsidP="00FD3D1D">
            <w:pPr>
              <w:jc w:val="right"/>
              <w:rPr>
                <w:rFonts w:ascii="Arial" w:eastAsia="Times New Roman" w:hAnsi="Arial" w:cs="Arial"/>
                <w:b/>
                <w:sz w:val="20"/>
                <w:szCs w:val="20"/>
                <w:highlight w:val="yellow"/>
                <w:lang w:val="mn-MN"/>
              </w:rPr>
            </w:pPr>
            <w:r w:rsidRPr="004024BD">
              <w:rPr>
                <w:rFonts w:ascii="Arial" w:eastAsia="Times New Roman" w:hAnsi="Arial" w:cs="Arial"/>
                <w:b/>
                <w:sz w:val="20"/>
                <w:szCs w:val="20"/>
                <w:lang w:val="mn-MN"/>
              </w:rPr>
              <w:t>3,368.4</w:t>
            </w:r>
          </w:p>
        </w:tc>
        <w:tc>
          <w:tcPr>
            <w:tcW w:w="1538" w:type="dxa"/>
            <w:shd w:val="clear" w:color="auto" w:fill="1F3864" w:themeFill="accent1" w:themeFillShade="80"/>
            <w:noWrap/>
          </w:tcPr>
          <w:p w14:paraId="490BAFE1" w14:textId="77777777" w:rsidR="00EB07AB" w:rsidRPr="004024BD" w:rsidRDefault="00EB07AB" w:rsidP="00FD3D1D">
            <w:pPr>
              <w:jc w:val="right"/>
              <w:rPr>
                <w:rFonts w:ascii="Arial" w:eastAsia="Times New Roman" w:hAnsi="Arial" w:cs="Arial"/>
                <w:b/>
                <w:sz w:val="20"/>
                <w:szCs w:val="20"/>
                <w:highlight w:val="yellow"/>
                <w:lang w:val="mn-MN"/>
              </w:rPr>
            </w:pPr>
            <w:r w:rsidRPr="004024BD">
              <w:rPr>
                <w:rFonts w:ascii="Arial" w:eastAsia="Times New Roman" w:hAnsi="Arial" w:cs="Arial"/>
                <w:b/>
                <w:sz w:val="20"/>
                <w:szCs w:val="20"/>
                <w:lang w:val="mn-MN"/>
              </w:rPr>
              <w:t>1,391.4</w:t>
            </w:r>
          </w:p>
        </w:tc>
      </w:tr>
    </w:tbl>
    <w:p w14:paraId="6EBF8146" w14:textId="77777777" w:rsidR="00EB07AB" w:rsidRPr="004024BD" w:rsidRDefault="00EB07AB" w:rsidP="00EB07AB">
      <w:pPr>
        <w:spacing w:after="0" w:line="240" w:lineRule="auto"/>
        <w:jc w:val="both"/>
        <w:rPr>
          <w:rFonts w:ascii="Arial" w:hAnsi="Arial" w:cs="Arial"/>
          <w:lang w:val="mn-MN"/>
        </w:rPr>
      </w:pPr>
      <w:r w:rsidRPr="004024BD">
        <w:rPr>
          <w:rFonts w:ascii="Arial" w:hAnsi="Arial" w:cs="Arial"/>
          <w:i/>
          <w:lang w:val="mn-MN"/>
        </w:rPr>
        <w:t xml:space="preserve">                                                                                                                Эх сурвалж: Сангийн яам</w:t>
      </w:r>
    </w:p>
    <w:p w14:paraId="43CF46C7" w14:textId="77777777" w:rsidR="00EB07AB" w:rsidRPr="004024BD" w:rsidRDefault="00EB07AB" w:rsidP="00EB07AB">
      <w:pPr>
        <w:pStyle w:val="NoSpacing"/>
        <w:spacing w:after="0" w:line="240" w:lineRule="auto"/>
        <w:rPr>
          <w:rFonts w:ascii="Arial" w:hAnsi="Arial" w:cs="Arial"/>
        </w:rPr>
        <w:sectPr w:rsidR="00EB07AB" w:rsidRPr="004024BD" w:rsidSect="002A2F8C">
          <w:type w:val="continuous"/>
          <w:pgSz w:w="11906" w:h="16838" w:code="9"/>
          <w:pgMar w:top="1134" w:right="851" w:bottom="851" w:left="1247" w:header="720" w:footer="720" w:gutter="0"/>
          <w:pgNumType w:start="0"/>
          <w:cols w:space="720"/>
          <w:titlePg/>
          <w:docGrid w:linePitch="360"/>
        </w:sectPr>
      </w:pPr>
    </w:p>
    <w:p w14:paraId="01DB0CF3" w14:textId="77777777" w:rsidR="00EB07AB" w:rsidRPr="004024BD" w:rsidRDefault="00EB07AB" w:rsidP="00EB07AB">
      <w:pPr>
        <w:pStyle w:val="Heading2"/>
        <w:ind w:left="540"/>
        <w:rPr>
          <w:sz w:val="22"/>
        </w:rPr>
      </w:pPr>
      <w:r w:rsidRPr="004024BD">
        <w:rPr>
          <w:sz w:val="22"/>
        </w:rPr>
        <w:tab/>
      </w:r>
    </w:p>
    <w:p w14:paraId="4B8C72C9" w14:textId="77777777" w:rsidR="00EB07AB" w:rsidRPr="004024BD" w:rsidRDefault="00EB07AB" w:rsidP="00EB07AB">
      <w:pPr>
        <w:pStyle w:val="Heading2"/>
        <w:ind w:left="540"/>
        <w:rPr>
          <w:szCs w:val="24"/>
        </w:rPr>
      </w:pPr>
      <w:r w:rsidRPr="004024BD">
        <w:rPr>
          <w:szCs w:val="24"/>
        </w:rPr>
        <w:tab/>
        <w:t>2.2.Арилжааны нөхцөлтэй гадаад эх үүсвэр</w:t>
      </w:r>
    </w:p>
    <w:p w14:paraId="661C5ED0" w14:textId="77777777" w:rsidR="00EB07AB" w:rsidRPr="004024BD" w:rsidRDefault="00EB07AB" w:rsidP="00EB07AB">
      <w:pPr>
        <w:pStyle w:val="NoSpacing"/>
        <w:spacing w:after="0" w:line="240" w:lineRule="auto"/>
        <w:rPr>
          <w:rFonts w:ascii="Arial" w:hAnsi="Arial" w:cs="Arial"/>
          <w:sz w:val="24"/>
          <w:szCs w:val="24"/>
        </w:rPr>
      </w:pPr>
    </w:p>
    <w:p w14:paraId="696E4194" w14:textId="77777777" w:rsidR="00EB07AB" w:rsidRPr="004024BD" w:rsidRDefault="00EB07AB" w:rsidP="00EB07AB">
      <w:pPr>
        <w:pStyle w:val="NoSpacing"/>
        <w:spacing w:after="0" w:line="240" w:lineRule="auto"/>
        <w:rPr>
          <w:rFonts w:ascii="Arial" w:hAnsi="Arial" w:cs="Arial"/>
          <w:sz w:val="24"/>
          <w:szCs w:val="24"/>
        </w:rPr>
        <w:sectPr w:rsidR="00EB07AB" w:rsidRPr="004024BD" w:rsidSect="002A2F8C">
          <w:type w:val="continuous"/>
          <w:pgSz w:w="11906" w:h="16838" w:code="9"/>
          <w:pgMar w:top="1134" w:right="851" w:bottom="851" w:left="1247" w:header="720" w:footer="720" w:gutter="0"/>
          <w:pgNumType w:start="0"/>
          <w:cols w:space="720"/>
          <w:titlePg/>
          <w:docGrid w:linePitch="360"/>
        </w:sectPr>
      </w:pPr>
    </w:p>
    <w:p w14:paraId="45D6B9CF"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Засгийн газраас 2012 онд 1.5 тэрбум ам.доллартой тэнцэх “Чингис” бонд, 2015 онд 1.0 тэрбум юань /161.2 сая ам.доллар/-тай тэнцэх “ДимСам” бонд, 2016 онд 500.0 сая ам.доллартой тэнцэх “Мазаалай” бонд, 2017 онд 600.0 сая ам.доллартой тэнцэх “Хуралдай” бонд болон 800.0 сая ам.доллартой тэнцэх “Гэрэгэ” бонд зэрэг нийт 3.6 тэрбум ам.долларын гадаад үнэт цаасыг олон улсын зах зээлд арилжаалсан.</w:t>
      </w:r>
    </w:p>
    <w:p w14:paraId="59A31B61" w14:textId="77777777" w:rsidR="00EB07AB" w:rsidRPr="004024BD" w:rsidRDefault="00EB07AB" w:rsidP="00EB07AB">
      <w:pPr>
        <w:pStyle w:val="NoSpacing"/>
        <w:spacing w:after="0" w:line="240" w:lineRule="auto"/>
        <w:rPr>
          <w:rFonts w:ascii="Arial" w:hAnsi="Arial" w:cs="Arial"/>
          <w:sz w:val="24"/>
          <w:szCs w:val="24"/>
        </w:rPr>
      </w:pPr>
    </w:p>
    <w:p w14:paraId="615E48A1"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ОУВС-ийн өргөтгөсөн санхүүжилтийн хөтөлбөрийн хүрээнд Монгол Улсын Засгийн газар арилжааны нөхцөлтэй гадаад зээллэгийг зөвхөн дахин санхүүжилтийн зориулалтаар арилжаалахаар тохирсон бөгөөд шинээр төсөл хөтөлбөр, төсвийн алдагдлыг санхүүжүүлэх зориулалтаар гадаад зээллэг авахыг улирлын шалгуур үзүүлэлтийн дагуу хориглож байв.</w:t>
      </w:r>
    </w:p>
    <w:p w14:paraId="79153402" w14:textId="77777777" w:rsidR="00EB07AB" w:rsidRPr="004024BD" w:rsidRDefault="00EB07AB" w:rsidP="00EB07AB">
      <w:pPr>
        <w:pStyle w:val="NoSpacing"/>
        <w:spacing w:after="0" w:line="240" w:lineRule="auto"/>
        <w:rPr>
          <w:rFonts w:ascii="Arial" w:hAnsi="Arial" w:cs="Arial"/>
          <w:sz w:val="24"/>
          <w:szCs w:val="24"/>
        </w:rPr>
      </w:pPr>
    </w:p>
    <w:p w14:paraId="3D7923AB"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 xml:space="preserve">Засгийн газрын өрийн удирдлагын 2023-2025 оны стратегийн баримт бичгийн хэрэгжих хугацаанд 2023 оны 05 дугаар сард “Гэрэгэ” </w:t>
      </w:r>
      <w:r w:rsidRPr="004024BD">
        <w:rPr>
          <w:rFonts w:ascii="Arial" w:hAnsi="Arial" w:cs="Arial"/>
          <w:color w:val="000000" w:themeColor="text1"/>
          <w:sz w:val="24"/>
          <w:szCs w:val="24"/>
        </w:rPr>
        <w:t>бондын</w:t>
      </w:r>
      <w:r w:rsidRPr="004024BD">
        <w:rPr>
          <w:rFonts w:ascii="Arial" w:hAnsi="Arial" w:cs="Arial"/>
          <w:color w:val="FF0000"/>
          <w:sz w:val="24"/>
          <w:szCs w:val="24"/>
        </w:rPr>
        <w:t xml:space="preserve"> </w:t>
      </w:r>
      <w:r w:rsidRPr="004024BD">
        <w:rPr>
          <w:rFonts w:ascii="Arial" w:hAnsi="Arial" w:cs="Arial"/>
          <w:sz w:val="24"/>
          <w:szCs w:val="24"/>
        </w:rPr>
        <w:t xml:space="preserve">533.1 сая ам.доллар, 2024 оны 03 дугаар сард “Хуралдай” бондын 600.0 сая ам.доллартой тэнцэх эргэн төлөлтүүд хийгдэх бол 2023 оны 12 дугаар сард Хөгжлийн банкнаас Засгийн газрын баталгаа бүхий “Самурай” </w:t>
      </w:r>
      <w:r w:rsidRPr="004024BD">
        <w:rPr>
          <w:rFonts w:ascii="Arial" w:hAnsi="Arial" w:cs="Arial"/>
          <w:color w:val="000000" w:themeColor="text1"/>
          <w:sz w:val="24"/>
          <w:szCs w:val="24"/>
        </w:rPr>
        <w:t>төслийн</w:t>
      </w:r>
      <w:r w:rsidRPr="004024BD">
        <w:rPr>
          <w:rFonts w:ascii="Arial" w:hAnsi="Arial" w:cs="Arial"/>
          <w:sz w:val="24"/>
          <w:szCs w:val="24"/>
        </w:rPr>
        <w:t xml:space="preserve"> хүрээнд арилжаалсан 30 тэрбум иентэй тэнцэх хөрөнгийг хөрөнгө оруулагчдад эргэн төлөх хуваарьтай байна.</w:t>
      </w:r>
    </w:p>
    <w:p w14:paraId="6B5A232C" w14:textId="77777777" w:rsidR="00EB07AB" w:rsidRPr="004024BD" w:rsidRDefault="00EB07AB" w:rsidP="00EB07AB">
      <w:pPr>
        <w:pStyle w:val="NoSpacing"/>
        <w:spacing w:after="0" w:line="240" w:lineRule="auto"/>
        <w:rPr>
          <w:rFonts w:ascii="Arial" w:hAnsi="Arial" w:cs="Arial"/>
        </w:rPr>
      </w:pPr>
    </w:p>
    <w:p w14:paraId="7C0436D5" w14:textId="77777777" w:rsidR="00EB07AB" w:rsidRPr="004024BD" w:rsidRDefault="00EB07AB" w:rsidP="00EB07AB">
      <w:pPr>
        <w:spacing w:after="0" w:line="240" w:lineRule="auto"/>
        <w:jc w:val="both"/>
        <w:rPr>
          <w:rFonts w:ascii="Arial" w:hAnsi="Arial" w:cs="Arial"/>
          <w:i/>
          <w:lang w:val="mn-MN"/>
        </w:rPr>
      </w:pPr>
      <w:r w:rsidRPr="004024BD">
        <w:rPr>
          <w:rFonts w:ascii="Arial" w:hAnsi="Arial" w:cs="Arial"/>
          <w:i/>
          <w:lang w:val="mn-MN"/>
        </w:rPr>
        <w:t xml:space="preserve">       </w:t>
      </w:r>
      <w:r w:rsidRPr="004024BD">
        <w:rPr>
          <w:rFonts w:ascii="Arial" w:hAnsi="Arial" w:cs="Arial"/>
          <w:i/>
          <w:lang w:val="mn-MN"/>
        </w:rPr>
        <w:tab/>
        <w:t>Хүснэгт №8: Гадаад үнэт цаас, 2021.12.31</w:t>
      </w:r>
      <w:r w:rsidRPr="004024BD">
        <w:rPr>
          <w:rFonts w:ascii="Arial" w:hAnsi="Arial" w:cs="Arial"/>
          <w:lang w:val="mn-MN"/>
        </w:rPr>
        <w:t>-</w:t>
      </w:r>
      <w:r w:rsidRPr="004024BD">
        <w:rPr>
          <w:rFonts w:ascii="Arial" w:hAnsi="Arial" w:cs="Arial"/>
          <w:i/>
          <w:lang w:val="mn-MN"/>
        </w:rPr>
        <w:t>ний байдлаар</w:t>
      </w:r>
    </w:p>
    <w:p w14:paraId="48B8804A" w14:textId="77777777" w:rsidR="00EB07AB" w:rsidRPr="004024BD" w:rsidRDefault="00EB07AB" w:rsidP="00EB07AB">
      <w:pPr>
        <w:spacing w:after="0"/>
        <w:ind w:left="7200" w:firstLine="720"/>
        <w:jc w:val="both"/>
        <w:rPr>
          <w:rFonts w:ascii="Arial" w:hAnsi="Arial" w:cs="Arial"/>
          <w:i/>
          <w:lang w:val="mn-MN"/>
        </w:rPr>
      </w:pPr>
      <w:r w:rsidRPr="004024BD">
        <w:rPr>
          <w:rFonts w:ascii="Arial" w:hAnsi="Arial" w:cs="Arial"/>
          <w:i/>
          <w:lang w:val="mn-MN"/>
        </w:rPr>
        <w:t xml:space="preserve"> /тэрбум төгрөг/</w:t>
      </w:r>
    </w:p>
    <w:tbl>
      <w:tblPr>
        <w:tblStyle w:val="TableGrid"/>
        <w:tblW w:w="9443" w:type="dxa"/>
        <w:tblInd w:w="355" w:type="dxa"/>
        <w:tblLook w:val="04A0" w:firstRow="1" w:lastRow="0" w:firstColumn="1" w:lastColumn="0" w:noHBand="0" w:noVBand="1"/>
      </w:tblPr>
      <w:tblGrid>
        <w:gridCol w:w="439"/>
        <w:gridCol w:w="2530"/>
        <w:gridCol w:w="1794"/>
        <w:gridCol w:w="1308"/>
        <w:gridCol w:w="1689"/>
        <w:gridCol w:w="1683"/>
      </w:tblGrid>
      <w:tr w:rsidR="00EB07AB" w:rsidRPr="004024BD" w14:paraId="0A857AD2" w14:textId="77777777" w:rsidTr="00FD3D1D">
        <w:trPr>
          <w:trHeight w:val="328"/>
        </w:trPr>
        <w:tc>
          <w:tcPr>
            <w:tcW w:w="323" w:type="dxa"/>
            <w:shd w:val="clear" w:color="auto" w:fill="1F3864" w:themeFill="accent1" w:themeFillShade="80"/>
            <w:noWrap/>
            <w:hideMark/>
          </w:tcPr>
          <w:p w14:paraId="691E7AE9" w14:textId="77777777" w:rsidR="00EB07AB" w:rsidRPr="004024BD" w:rsidRDefault="00EB07AB" w:rsidP="00FD3D1D">
            <w:pPr>
              <w:rPr>
                <w:rFonts w:ascii="Arial" w:eastAsia="Times New Roman" w:hAnsi="Arial" w:cs="Arial"/>
                <w:b/>
                <w:sz w:val="20"/>
                <w:szCs w:val="20"/>
                <w:lang w:val="mn-MN"/>
              </w:rPr>
            </w:pPr>
            <w:r w:rsidRPr="004024BD">
              <w:rPr>
                <w:rFonts w:ascii="Arial" w:eastAsia="Times New Roman" w:hAnsi="Arial" w:cs="Arial"/>
                <w:b/>
                <w:sz w:val="20"/>
                <w:szCs w:val="20"/>
                <w:lang w:val="mn-MN"/>
              </w:rPr>
              <w:t>№</w:t>
            </w:r>
          </w:p>
        </w:tc>
        <w:tc>
          <w:tcPr>
            <w:tcW w:w="2530" w:type="dxa"/>
            <w:shd w:val="clear" w:color="auto" w:fill="1F3864" w:themeFill="accent1" w:themeFillShade="80"/>
            <w:noWrap/>
            <w:hideMark/>
          </w:tcPr>
          <w:p w14:paraId="515E294A" w14:textId="77777777" w:rsidR="00EB07AB" w:rsidRPr="004024BD" w:rsidRDefault="00EB07AB" w:rsidP="00FD3D1D">
            <w:pPr>
              <w:jc w:val="center"/>
              <w:rPr>
                <w:rFonts w:ascii="Arial" w:eastAsia="Times New Roman" w:hAnsi="Arial" w:cs="Arial"/>
                <w:b/>
                <w:sz w:val="20"/>
                <w:szCs w:val="20"/>
                <w:lang w:val="mn-MN"/>
              </w:rPr>
            </w:pPr>
            <w:r w:rsidRPr="004024BD">
              <w:rPr>
                <w:rFonts w:ascii="Arial" w:eastAsia="Times New Roman" w:hAnsi="Arial" w:cs="Arial"/>
                <w:b/>
                <w:sz w:val="20"/>
                <w:szCs w:val="20"/>
                <w:lang w:val="mn-MN"/>
              </w:rPr>
              <w:t>Гадаад үнэт цаас</w:t>
            </w:r>
          </w:p>
        </w:tc>
        <w:tc>
          <w:tcPr>
            <w:tcW w:w="1794" w:type="dxa"/>
            <w:shd w:val="clear" w:color="auto" w:fill="1F3864" w:themeFill="accent1" w:themeFillShade="80"/>
            <w:noWrap/>
            <w:hideMark/>
          </w:tcPr>
          <w:p w14:paraId="2462E443" w14:textId="77777777" w:rsidR="00EB07AB" w:rsidRPr="004024BD" w:rsidRDefault="00EB07AB" w:rsidP="00FD3D1D">
            <w:pPr>
              <w:jc w:val="center"/>
              <w:rPr>
                <w:rFonts w:ascii="Arial" w:eastAsia="Times New Roman" w:hAnsi="Arial" w:cs="Arial"/>
                <w:b/>
                <w:sz w:val="20"/>
                <w:szCs w:val="20"/>
                <w:lang w:val="mn-MN"/>
              </w:rPr>
            </w:pPr>
            <w:r w:rsidRPr="004024BD">
              <w:rPr>
                <w:rFonts w:ascii="Arial" w:eastAsia="Times New Roman" w:hAnsi="Arial" w:cs="Arial"/>
                <w:b/>
                <w:sz w:val="20"/>
                <w:szCs w:val="20"/>
                <w:lang w:val="mn-MN"/>
              </w:rPr>
              <w:t>Хүү</w:t>
            </w:r>
          </w:p>
        </w:tc>
        <w:tc>
          <w:tcPr>
            <w:tcW w:w="1308" w:type="dxa"/>
            <w:shd w:val="clear" w:color="auto" w:fill="1F3864" w:themeFill="accent1" w:themeFillShade="80"/>
            <w:noWrap/>
            <w:hideMark/>
          </w:tcPr>
          <w:p w14:paraId="00DB92CB" w14:textId="77777777" w:rsidR="00EB07AB" w:rsidRPr="004024BD" w:rsidRDefault="00EB07AB" w:rsidP="00FD3D1D">
            <w:pPr>
              <w:jc w:val="center"/>
              <w:rPr>
                <w:rFonts w:ascii="Arial" w:eastAsia="Times New Roman" w:hAnsi="Arial" w:cs="Arial"/>
                <w:b/>
                <w:sz w:val="20"/>
                <w:szCs w:val="20"/>
                <w:lang w:val="mn-MN"/>
              </w:rPr>
            </w:pPr>
            <w:r w:rsidRPr="004024BD">
              <w:rPr>
                <w:rFonts w:ascii="Arial" w:eastAsia="Times New Roman" w:hAnsi="Arial" w:cs="Arial"/>
                <w:b/>
                <w:sz w:val="20"/>
                <w:szCs w:val="20"/>
                <w:lang w:val="mn-MN"/>
              </w:rPr>
              <w:t>Хугацаа</w:t>
            </w:r>
          </w:p>
        </w:tc>
        <w:tc>
          <w:tcPr>
            <w:tcW w:w="1805" w:type="dxa"/>
            <w:shd w:val="clear" w:color="auto" w:fill="1F3864" w:themeFill="accent1" w:themeFillShade="80"/>
          </w:tcPr>
          <w:p w14:paraId="029B2EEC" w14:textId="77777777" w:rsidR="00EB07AB" w:rsidRPr="004024BD" w:rsidRDefault="00EB07AB" w:rsidP="00FD3D1D">
            <w:pPr>
              <w:jc w:val="center"/>
              <w:rPr>
                <w:rFonts w:ascii="Arial" w:eastAsia="Times New Roman" w:hAnsi="Arial" w:cs="Arial"/>
                <w:b/>
                <w:sz w:val="20"/>
                <w:szCs w:val="20"/>
                <w:lang w:val="mn-MN"/>
              </w:rPr>
            </w:pPr>
            <w:r w:rsidRPr="004024BD">
              <w:rPr>
                <w:rFonts w:ascii="Arial" w:eastAsia="Times New Roman" w:hAnsi="Arial" w:cs="Arial"/>
                <w:b/>
                <w:sz w:val="20"/>
                <w:szCs w:val="20"/>
                <w:lang w:val="mn-MN"/>
              </w:rPr>
              <w:t>Төлөгдөж дуусах огноо</w:t>
            </w:r>
          </w:p>
        </w:tc>
        <w:tc>
          <w:tcPr>
            <w:tcW w:w="1683" w:type="dxa"/>
            <w:shd w:val="clear" w:color="auto" w:fill="1F3864" w:themeFill="accent1" w:themeFillShade="80"/>
            <w:noWrap/>
            <w:hideMark/>
          </w:tcPr>
          <w:p w14:paraId="1663B78E" w14:textId="77777777" w:rsidR="00EB07AB" w:rsidRPr="004024BD" w:rsidRDefault="00EB07AB" w:rsidP="00FD3D1D">
            <w:pPr>
              <w:jc w:val="center"/>
              <w:rPr>
                <w:rFonts w:ascii="Arial" w:eastAsia="Times New Roman" w:hAnsi="Arial" w:cs="Arial"/>
                <w:b/>
                <w:sz w:val="20"/>
                <w:szCs w:val="20"/>
                <w:lang w:val="mn-MN"/>
              </w:rPr>
            </w:pPr>
            <w:r w:rsidRPr="004024BD">
              <w:rPr>
                <w:rFonts w:ascii="Arial" w:eastAsia="Times New Roman" w:hAnsi="Arial" w:cs="Arial"/>
                <w:b/>
                <w:sz w:val="20"/>
                <w:szCs w:val="20"/>
                <w:lang w:val="mn-MN"/>
              </w:rPr>
              <w:t>Үлдэгдэл</w:t>
            </w:r>
          </w:p>
        </w:tc>
      </w:tr>
      <w:tr w:rsidR="00EB07AB" w:rsidRPr="004024BD" w14:paraId="3F82563C" w14:textId="77777777" w:rsidTr="00FD3D1D">
        <w:trPr>
          <w:trHeight w:val="338"/>
        </w:trPr>
        <w:tc>
          <w:tcPr>
            <w:tcW w:w="323" w:type="dxa"/>
            <w:noWrap/>
            <w:hideMark/>
          </w:tcPr>
          <w:p w14:paraId="3DC58645" w14:textId="77777777" w:rsidR="00EB07AB" w:rsidRPr="004024BD" w:rsidRDefault="00EB07AB" w:rsidP="00FD3D1D">
            <w:pPr>
              <w:jc w:val="center"/>
              <w:rPr>
                <w:rFonts w:ascii="Arial" w:eastAsia="Times New Roman" w:hAnsi="Arial" w:cs="Arial"/>
                <w:sz w:val="20"/>
                <w:szCs w:val="20"/>
                <w:lang w:val="mn-MN"/>
              </w:rPr>
            </w:pPr>
            <w:r w:rsidRPr="004024BD">
              <w:rPr>
                <w:rFonts w:ascii="Arial" w:eastAsia="Times New Roman" w:hAnsi="Arial" w:cs="Arial"/>
                <w:sz w:val="20"/>
                <w:szCs w:val="20"/>
                <w:lang w:val="mn-MN"/>
              </w:rPr>
              <w:t>1</w:t>
            </w:r>
          </w:p>
        </w:tc>
        <w:tc>
          <w:tcPr>
            <w:tcW w:w="2530" w:type="dxa"/>
            <w:noWrap/>
            <w:hideMark/>
          </w:tcPr>
          <w:p w14:paraId="5DBCDB32" w14:textId="77777777" w:rsidR="00EB07AB" w:rsidRPr="004024BD" w:rsidRDefault="00EB07AB" w:rsidP="00FD3D1D">
            <w:pPr>
              <w:rPr>
                <w:rFonts w:ascii="Arial" w:eastAsia="Times New Roman" w:hAnsi="Arial" w:cs="Arial"/>
                <w:sz w:val="20"/>
                <w:szCs w:val="20"/>
                <w:lang w:val="mn-MN"/>
              </w:rPr>
            </w:pPr>
            <w:r w:rsidRPr="004024BD">
              <w:rPr>
                <w:rFonts w:ascii="Arial" w:eastAsia="Times New Roman" w:hAnsi="Arial" w:cs="Arial"/>
                <w:sz w:val="20"/>
                <w:szCs w:val="20"/>
                <w:lang w:val="mn-MN"/>
              </w:rPr>
              <w:t>Чингис-2022</w:t>
            </w:r>
          </w:p>
        </w:tc>
        <w:tc>
          <w:tcPr>
            <w:tcW w:w="1794" w:type="dxa"/>
            <w:noWrap/>
            <w:hideMark/>
          </w:tcPr>
          <w:p w14:paraId="3131F252"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5.125%</w:t>
            </w:r>
          </w:p>
        </w:tc>
        <w:tc>
          <w:tcPr>
            <w:tcW w:w="1308" w:type="dxa"/>
            <w:noWrap/>
            <w:hideMark/>
          </w:tcPr>
          <w:p w14:paraId="6429EF81"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10 жил</w:t>
            </w:r>
          </w:p>
        </w:tc>
        <w:tc>
          <w:tcPr>
            <w:tcW w:w="1805" w:type="dxa"/>
          </w:tcPr>
          <w:p w14:paraId="37D61F26"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2022.12</w:t>
            </w:r>
          </w:p>
        </w:tc>
        <w:tc>
          <w:tcPr>
            <w:tcW w:w="1683" w:type="dxa"/>
            <w:noWrap/>
            <w:hideMark/>
          </w:tcPr>
          <w:p w14:paraId="2C75D53D"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389.6</w:t>
            </w:r>
          </w:p>
        </w:tc>
      </w:tr>
      <w:tr w:rsidR="00EB07AB" w:rsidRPr="004024BD" w14:paraId="0015409C" w14:textId="77777777" w:rsidTr="00FD3D1D">
        <w:trPr>
          <w:trHeight w:val="338"/>
        </w:trPr>
        <w:tc>
          <w:tcPr>
            <w:tcW w:w="323" w:type="dxa"/>
            <w:noWrap/>
          </w:tcPr>
          <w:p w14:paraId="063303CF"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2</w:t>
            </w:r>
          </w:p>
        </w:tc>
        <w:tc>
          <w:tcPr>
            <w:tcW w:w="2530" w:type="dxa"/>
            <w:noWrap/>
          </w:tcPr>
          <w:p w14:paraId="6E25BEAA" w14:textId="77777777" w:rsidR="00EB07AB" w:rsidRPr="004024BD" w:rsidRDefault="00EB07AB" w:rsidP="00FD3D1D">
            <w:pPr>
              <w:rPr>
                <w:rFonts w:ascii="Arial" w:eastAsia="Times New Roman" w:hAnsi="Arial" w:cs="Arial"/>
                <w:color w:val="000000"/>
                <w:sz w:val="20"/>
                <w:szCs w:val="20"/>
                <w:lang w:val="mn-MN"/>
              </w:rPr>
            </w:pPr>
            <w:r w:rsidRPr="004024BD">
              <w:rPr>
                <w:rFonts w:ascii="Arial" w:eastAsia="Times New Roman" w:hAnsi="Arial" w:cs="Arial"/>
                <w:sz w:val="20"/>
                <w:szCs w:val="20"/>
                <w:lang w:val="mn-MN"/>
              </w:rPr>
              <w:t>Гэрэгэ</w:t>
            </w:r>
          </w:p>
        </w:tc>
        <w:tc>
          <w:tcPr>
            <w:tcW w:w="1794" w:type="dxa"/>
            <w:noWrap/>
          </w:tcPr>
          <w:p w14:paraId="39106EE1"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5.625%</w:t>
            </w:r>
          </w:p>
        </w:tc>
        <w:tc>
          <w:tcPr>
            <w:tcW w:w="1308" w:type="dxa"/>
            <w:noWrap/>
          </w:tcPr>
          <w:p w14:paraId="467A6F9A"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5.5 жил</w:t>
            </w:r>
          </w:p>
        </w:tc>
        <w:tc>
          <w:tcPr>
            <w:tcW w:w="1805" w:type="dxa"/>
          </w:tcPr>
          <w:p w14:paraId="621833D2"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2023.05</w:t>
            </w:r>
          </w:p>
        </w:tc>
        <w:tc>
          <w:tcPr>
            <w:tcW w:w="1683" w:type="dxa"/>
            <w:noWrap/>
          </w:tcPr>
          <w:p w14:paraId="5588E710"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1,518.4</w:t>
            </w:r>
          </w:p>
        </w:tc>
      </w:tr>
      <w:tr w:rsidR="00EB07AB" w:rsidRPr="004024BD" w14:paraId="15A03DBC" w14:textId="77777777" w:rsidTr="00FD3D1D">
        <w:trPr>
          <w:trHeight w:val="338"/>
        </w:trPr>
        <w:tc>
          <w:tcPr>
            <w:tcW w:w="323" w:type="dxa"/>
            <w:noWrap/>
            <w:hideMark/>
          </w:tcPr>
          <w:p w14:paraId="4A5C5472" w14:textId="77777777" w:rsidR="00EB07AB" w:rsidRPr="004024BD" w:rsidRDefault="00EB07AB" w:rsidP="00FD3D1D">
            <w:pPr>
              <w:jc w:val="center"/>
              <w:rPr>
                <w:rFonts w:ascii="Arial" w:eastAsia="Times New Roman" w:hAnsi="Arial" w:cs="Arial"/>
                <w:sz w:val="20"/>
                <w:szCs w:val="20"/>
                <w:lang w:val="mn-MN"/>
              </w:rPr>
            </w:pPr>
            <w:r w:rsidRPr="004024BD">
              <w:rPr>
                <w:rFonts w:ascii="Arial" w:eastAsia="Times New Roman" w:hAnsi="Arial" w:cs="Arial"/>
                <w:sz w:val="20"/>
                <w:szCs w:val="20"/>
                <w:lang w:val="mn-MN"/>
              </w:rPr>
              <w:t>3</w:t>
            </w:r>
          </w:p>
        </w:tc>
        <w:tc>
          <w:tcPr>
            <w:tcW w:w="2530" w:type="dxa"/>
            <w:noWrap/>
          </w:tcPr>
          <w:p w14:paraId="532086F6" w14:textId="77777777" w:rsidR="00EB07AB" w:rsidRPr="004024BD" w:rsidRDefault="00EB07AB" w:rsidP="00FD3D1D">
            <w:pPr>
              <w:rPr>
                <w:rFonts w:ascii="Arial" w:eastAsia="Times New Roman" w:hAnsi="Arial" w:cs="Arial"/>
                <w:sz w:val="20"/>
                <w:szCs w:val="20"/>
                <w:lang w:val="mn-MN"/>
              </w:rPr>
            </w:pPr>
            <w:r w:rsidRPr="004024BD">
              <w:rPr>
                <w:rFonts w:ascii="Arial" w:eastAsia="Times New Roman" w:hAnsi="Arial" w:cs="Arial"/>
                <w:color w:val="000000"/>
                <w:sz w:val="20"/>
                <w:szCs w:val="20"/>
                <w:lang w:val="mn-MN"/>
              </w:rPr>
              <w:t>Хуралдай</w:t>
            </w:r>
          </w:p>
        </w:tc>
        <w:tc>
          <w:tcPr>
            <w:tcW w:w="1794" w:type="dxa"/>
            <w:noWrap/>
          </w:tcPr>
          <w:p w14:paraId="21E661E9"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8.75%</w:t>
            </w:r>
          </w:p>
        </w:tc>
        <w:tc>
          <w:tcPr>
            <w:tcW w:w="1308" w:type="dxa"/>
            <w:noWrap/>
          </w:tcPr>
          <w:p w14:paraId="1E46F99E"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7 жил</w:t>
            </w:r>
          </w:p>
        </w:tc>
        <w:tc>
          <w:tcPr>
            <w:tcW w:w="1805" w:type="dxa"/>
          </w:tcPr>
          <w:p w14:paraId="23E2F14D"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2024.03</w:t>
            </w:r>
          </w:p>
        </w:tc>
        <w:tc>
          <w:tcPr>
            <w:tcW w:w="1683" w:type="dxa"/>
            <w:noWrap/>
          </w:tcPr>
          <w:p w14:paraId="544FD4B6"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1,709.1</w:t>
            </w:r>
          </w:p>
        </w:tc>
      </w:tr>
      <w:tr w:rsidR="00EB07AB" w:rsidRPr="004024BD" w14:paraId="0E028318" w14:textId="77777777" w:rsidTr="00FD3D1D">
        <w:trPr>
          <w:trHeight w:val="338"/>
        </w:trPr>
        <w:tc>
          <w:tcPr>
            <w:tcW w:w="323" w:type="dxa"/>
            <w:noWrap/>
            <w:hideMark/>
          </w:tcPr>
          <w:p w14:paraId="3F6D1330"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4</w:t>
            </w:r>
          </w:p>
        </w:tc>
        <w:tc>
          <w:tcPr>
            <w:tcW w:w="2530" w:type="dxa"/>
            <w:noWrap/>
            <w:hideMark/>
          </w:tcPr>
          <w:p w14:paraId="5685F3A0" w14:textId="77777777" w:rsidR="00EB07AB" w:rsidRPr="004024BD" w:rsidRDefault="00EB07AB" w:rsidP="00FD3D1D">
            <w:pP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Номад</w:t>
            </w:r>
          </w:p>
        </w:tc>
        <w:tc>
          <w:tcPr>
            <w:tcW w:w="1794" w:type="dxa"/>
            <w:noWrap/>
            <w:hideMark/>
          </w:tcPr>
          <w:p w14:paraId="6BE01D22"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5.125%</w:t>
            </w:r>
          </w:p>
        </w:tc>
        <w:tc>
          <w:tcPr>
            <w:tcW w:w="1308" w:type="dxa"/>
            <w:noWrap/>
            <w:hideMark/>
          </w:tcPr>
          <w:p w14:paraId="0FCAA3A8"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5.5 жил</w:t>
            </w:r>
          </w:p>
        </w:tc>
        <w:tc>
          <w:tcPr>
            <w:tcW w:w="1805" w:type="dxa"/>
          </w:tcPr>
          <w:p w14:paraId="6BF512B6"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2026.04</w:t>
            </w:r>
          </w:p>
        </w:tc>
        <w:tc>
          <w:tcPr>
            <w:tcW w:w="1683" w:type="dxa"/>
            <w:noWrap/>
            <w:hideMark/>
          </w:tcPr>
          <w:p w14:paraId="33DBB02D" w14:textId="77777777" w:rsidR="00EB07AB" w:rsidRPr="004024BD" w:rsidRDefault="00EB07AB" w:rsidP="00FD3D1D">
            <w:pPr>
              <w:jc w:val="right"/>
              <w:rPr>
                <w:rFonts w:ascii="Arial" w:eastAsia="Times New Roman" w:hAnsi="Arial" w:cs="Arial"/>
                <w:color w:val="000000"/>
                <w:sz w:val="20"/>
                <w:szCs w:val="20"/>
                <w:lang w:val="mn-MN"/>
              </w:rPr>
            </w:pPr>
            <w:r w:rsidRPr="004024BD">
              <w:rPr>
                <w:rFonts w:ascii="Arial" w:eastAsia="Times New Roman" w:hAnsi="Arial" w:cs="Arial"/>
                <w:sz w:val="20"/>
                <w:szCs w:val="20"/>
                <w:lang w:val="mn-MN"/>
              </w:rPr>
              <w:t>1,709.1</w:t>
            </w:r>
          </w:p>
        </w:tc>
      </w:tr>
      <w:tr w:rsidR="00EB07AB" w:rsidRPr="004024BD" w14:paraId="2007FA51" w14:textId="77777777" w:rsidTr="00FD3D1D">
        <w:trPr>
          <w:trHeight w:val="338"/>
        </w:trPr>
        <w:tc>
          <w:tcPr>
            <w:tcW w:w="323" w:type="dxa"/>
            <w:noWrap/>
            <w:hideMark/>
          </w:tcPr>
          <w:p w14:paraId="116BF3E8" w14:textId="77777777" w:rsidR="00EB07AB" w:rsidRPr="004024BD" w:rsidRDefault="00EB07AB" w:rsidP="00FD3D1D">
            <w:pPr>
              <w:jc w:val="center"/>
              <w:rPr>
                <w:rFonts w:ascii="Arial" w:eastAsia="Times New Roman" w:hAnsi="Arial" w:cs="Arial"/>
                <w:sz w:val="20"/>
                <w:szCs w:val="20"/>
                <w:lang w:val="mn-MN"/>
              </w:rPr>
            </w:pPr>
            <w:r w:rsidRPr="004024BD">
              <w:rPr>
                <w:rFonts w:ascii="Arial" w:eastAsia="Times New Roman" w:hAnsi="Arial" w:cs="Arial"/>
                <w:sz w:val="20"/>
                <w:szCs w:val="20"/>
                <w:lang w:val="mn-MN"/>
              </w:rPr>
              <w:t>5</w:t>
            </w:r>
          </w:p>
        </w:tc>
        <w:tc>
          <w:tcPr>
            <w:tcW w:w="2530" w:type="dxa"/>
            <w:noWrap/>
            <w:hideMark/>
          </w:tcPr>
          <w:p w14:paraId="7578C9FE" w14:textId="77777777" w:rsidR="00EB07AB" w:rsidRPr="004024BD" w:rsidRDefault="00EB07AB" w:rsidP="00FD3D1D">
            <w:pPr>
              <w:rPr>
                <w:rFonts w:ascii="Arial" w:eastAsia="Times New Roman" w:hAnsi="Arial" w:cs="Arial"/>
                <w:sz w:val="20"/>
                <w:szCs w:val="20"/>
                <w:lang w:val="mn-MN"/>
              </w:rPr>
            </w:pPr>
            <w:r w:rsidRPr="004024BD">
              <w:rPr>
                <w:rFonts w:ascii="Arial" w:eastAsia="Times New Roman" w:hAnsi="Arial" w:cs="Arial"/>
                <w:sz w:val="20"/>
                <w:szCs w:val="20"/>
                <w:lang w:val="mn-MN"/>
              </w:rPr>
              <w:t>Сенчири-2027</w:t>
            </w:r>
          </w:p>
        </w:tc>
        <w:tc>
          <w:tcPr>
            <w:tcW w:w="1794" w:type="dxa"/>
            <w:noWrap/>
            <w:hideMark/>
          </w:tcPr>
          <w:p w14:paraId="35EA16C0"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3.5%</w:t>
            </w:r>
          </w:p>
        </w:tc>
        <w:tc>
          <w:tcPr>
            <w:tcW w:w="1308" w:type="dxa"/>
            <w:noWrap/>
            <w:hideMark/>
          </w:tcPr>
          <w:p w14:paraId="707798CA"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6 жил</w:t>
            </w:r>
          </w:p>
        </w:tc>
        <w:tc>
          <w:tcPr>
            <w:tcW w:w="1805" w:type="dxa"/>
          </w:tcPr>
          <w:p w14:paraId="372D83CE"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2027.07</w:t>
            </w:r>
          </w:p>
        </w:tc>
        <w:tc>
          <w:tcPr>
            <w:tcW w:w="1683" w:type="dxa"/>
            <w:noWrap/>
            <w:hideMark/>
          </w:tcPr>
          <w:p w14:paraId="68264A94"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1,424.2</w:t>
            </w:r>
          </w:p>
        </w:tc>
      </w:tr>
      <w:tr w:rsidR="00EB07AB" w:rsidRPr="004024BD" w14:paraId="6ED4CDF8" w14:textId="77777777" w:rsidTr="00FD3D1D">
        <w:trPr>
          <w:trHeight w:val="338"/>
        </w:trPr>
        <w:tc>
          <w:tcPr>
            <w:tcW w:w="323" w:type="dxa"/>
            <w:noWrap/>
            <w:hideMark/>
          </w:tcPr>
          <w:p w14:paraId="6D1AB423"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6</w:t>
            </w:r>
          </w:p>
        </w:tc>
        <w:tc>
          <w:tcPr>
            <w:tcW w:w="2530" w:type="dxa"/>
            <w:noWrap/>
            <w:hideMark/>
          </w:tcPr>
          <w:p w14:paraId="347DA431" w14:textId="77777777" w:rsidR="00EB07AB" w:rsidRPr="004024BD" w:rsidRDefault="00EB07AB" w:rsidP="00FD3D1D">
            <w:pP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Сенчири-2031</w:t>
            </w:r>
          </w:p>
        </w:tc>
        <w:tc>
          <w:tcPr>
            <w:tcW w:w="1794" w:type="dxa"/>
            <w:noWrap/>
            <w:hideMark/>
          </w:tcPr>
          <w:p w14:paraId="5310C0D8"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4.45%</w:t>
            </w:r>
          </w:p>
        </w:tc>
        <w:tc>
          <w:tcPr>
            <w:tcW w:w="1308" w:type="dxa"/>
            <w:noWrap/>
            <w:hideMark/>
          </w:tcPr>
          <w:p w14:paraId="44C2FE87" w14:textId="77777777" w:rsidR="00EB07AB" w:rsidRPr="004024BD" w:rsidRDefault="00EB07AB" w:rsidP="00FD3D1D">
            <w:pPr>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10 жил</w:t>
            </w:r>
          </w:p>
        </w:tc>
        <w:tc>
          <w:tcPr>
            <w:tcW w:w="1805" w:type="dxa"/>
          </w:tcPr>
          <w:p w14:paraId="07AB55A4" w14:textId="77777777" w:rsidR="00EB07AB" w:rsidRPr="004024BD" w:rsidRDefault="00EB07AB" w:rsidP="00FD3D1D">
            <w:pPr>
              <w:jc w:val="right"/>
              <w:rPr>
                <w:rFonts w:ascii="Arial" w:eastAsia="Times New Roman" w:hAnsi="Arial" w:cs="Arial"/>
                <w:sz w:val="20"/>
                <w:szCs w:val="20"/>
                <w:lang w:val="mn-MN"/>
              </w:rPr>
            </w:pPr>
            <w:r w:rsidRPr="004024BD">
              <w:rPr>
                <w:rFonts w:ascii="Arial" w:eastAsia="Times New Roman" w:hAnsi="Arial" w:cs="Arial"/>
                <w:sz w:val="20"/>
                <w:szCs w:val="20"/>
                <w:lang w:val="mn-MN"/>
              </w:rPr>
              <w:t>2031.07</w:t>
            </w:r>
          </w:p>
        </w:tc>
        <w:tc>
          <w:tcPr>
            <w:tcW w:w="1683" w:type="dxa"/>
            <w:noWrap/>
            <w:hideMark/>
          </w:tcPr>
          <w:p w14:paraId="53012AD3" w14:textId="77777777" w:rsidR="00EB07AB" w:rsidRPr="004024BD" w:rsidRDefault="00EB07AB" w:rsidP="00FD3D1D">
            <w:pPr>
              <w:jc w:val="right"/>
              <w:rPr>
                <w:rFonts w:ascii="Arial" w:eastAsia="Times New Roman" w:hAnsi="Arial" w:cs="Arial"/>
                <w:color w:val="000000"/>
                <w:sz w:val="20"/>
                <w:szCs w:val="20"/>
                <w:lang w:val="mn-MN"/>
              </w:rPr>
            </w:pPr>
            <w:r w:rsidRPr="004024BD">
              <w:rPr>
                <w:rFonts w:ascii="Arial" w:eastAsia="Times New Roman" w:hAnsi="Arial" w:cs="Arial"/>
                <w:sz w:val="20"/>
                <w:szCs w:val="20"/>
                <w:lang w:val="mn-MN"/>
              </w:rPr>
              <w:t>1,424.2</w:t>
            </w:r>
          </w:p>
        </w:tc>
      </w:tr>
      <w:tr w:rsidR="00EB07AB" w:rsidRPr="004024BD" w14:paraId="29B3B129" w14:textId="77777777" w:rsidTr="00FD3D1D">
        <w:trPr>
          <w:trHeight w:val="170"/>
        </w:trPr>
        <w:tc>
          <w:tcPr>
            <w:tcW w:w="7760" w:type="dxa"/>
            <w:gridSpan w:val="5"/>
            <w:noWrap/>
            <w:vAlign w:val="center"/>
            <w:hideMark/>
          </w:tcPr>
          <w:p w14:paraId="74EEA3D1" w14:textId="77777777" w:rsidR="00EB07AB" w:rsidRPr="004024BD" w:rsidRDefault="00EB07AB" w:rsidP="00FD3D1D">
            <w:pPr>
              <w:jc w:val="center"/>
              <w:rPr>
                <w:rFonts w:ascii="Arial" w:eastAsia="Times New Roman" w:hAnsi="Arial" w:cs="Arial"/>
                <w:b/>
                <w:sz w:val="20"/>
                <w:szCs w:val="20"/>
                <w:lang w:val="mn-MN"/>
              </w:rPr>
            </w:pPr>
            <w:r w:rsidRPr="004024BD">
              <w:rPr>
                <w:rFonts w:ascii="Arial" w:eastAsia="Times New Roman" w:hAnsi="Arial" w:cs="Arial"/>
                <w:b/>
                <w:bCs/>
                <w:sz w:val="20"/>
                <w:szCs w:val="20"/>
                <w:lang w:val="mn-MN"/>
              </w:rPr>
              <w:t>Нийт</w:t>
            </w:r>
          </w:p>
          <w:p w14:paraId="020F8B88" w14:textId="77777777" w:rsidR="00EB07AB" w:rsidRPr="004024BD" w:rsidRDefault="00EB07AB" w:rsidP="00FD3D1D">
            <w:pPr>
              <w:jc w:val="center"/>
              <w:rPr>
                <w:rFonts w:ascii="Arial" w:eastAsia="Times New Roman" w:hAnsi="Arial" w:cs="Arial"/>
                <w:b/>
                <w:sz w:val="20"/>
                <w:szCs w:val="20"/>
                <w:lang w:val="mn-MN"/>
              </w:rPr>
            </w:pPr>
          </w:p>
        </w:tc>
        <w:tc>
          <w:tcPr>
            <w:tcW w:w="1683" w:type="dxa"/>
            <w:noWrap/>
            <w:hideMark/>
          </w:tcPr>
          <w:p w14:paraId="29688499" w14:textId="77777777" w:rsidR="00EB07AB" w:rsidRPr="004024BD" w:rsidRDefault="00EB07AB" w:rsidP="00FD3D1D">
            <w:pPr>
              <w:jc w:val="right"/>
              <w:rPr>
                <w:rFonts w:ascii="Arial" w:eastAsia="Times New Roman" w:hAnsi="Arial" w:cs="Arial"/>
                <w:b/>
                <w:sz w:val="20"/>
                <w:szCs w:val="20"/>
                <w:lang w:val="mn-MN"/>
              </w:rPr>
            </w:pPr>
            <w:r w:rsidRPr="004024BD">
              <w:rPr>
                <w:rFonts w:ascii="Arial" w:eastAsia="Times New Roman" w:hAnsi="Arial" w:cs="Arial"/>
                <w:b/>
                <w:sz w:val="20"/>
                <w:szCs w:val="20"/>
                <w:lang w:val="mn-MN"/>
              </w:rPr>
              <w:t>8,175.6</w:t>
            </w:r>
          </w:p>
        </w:tc>
      </w:tr>
    </w:tbl>
    <w:p w14:paraId="6DA038A0" w14:textId="77777777" w:rsidR="00EB07AB" w:rsidRPr="004024BD" w:rsidRDefault="00EB07AB" w:rsidP="00EB07AB">
      <w:pPr>
        <w:pStyle w:val="ListParagraph"/>
        <w:spacing w:after="0"/>
        <w:ind w:left="6480"/>
        <w:jc w:val="both"/>
        <w:rPr>
          <w:rFonts w:ascii="Arial" w:hAnsi="Arial" w:cs="Arial"/>
          <w:lang w:val="mn-MN"/>
        </w:rPr>
      </w:pPr>
      <w:r w:rsidRPr="004024BD">
        <w:rPr>
          <w:rFonts w:ascii="Arial" w:hAnsi="Arial" w:cs="Arial"/>
          <w:i/>
          <w:lang w:val="mn-MN"/>
        </w:rPr>
        <w:t xml:space="preserve">           Эх сурвалж: Сангийн яам</w:t>
      </w:r>
    </w:p>
    <w:p w14:paraId="36A93DF3" w14:textId="77777777" w:rsidR="00EB07AB" w:rsidRPr="004024BD" w:rsidRDefault="00EB07AB" w:rsidP="00EB07AB">
      <w:pPr>
        <w:pStyle w:val="NoSpacing"/>
        <w:spacing w:after="0" w:line="240" w:lineRule="auto"/>
        <w:rPr>
          <w:rFonts w:ascii="Arial" w:hAnsi="Arial" w:cs="Arial"/>
        </w:rPr>
      </w:pPr>
    </w:p>
    <w:p w14:paraId="15BA5571"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rPr>
        <w:tab/>
      </w:r>
      <w:r w:rsidRPr="004024BD">
        <w:rPr>
          <w:rFonts w:ascii="Arial" w:hAnsi="Arial" w:cs="Arial"/>
          <w:sz w:val="24"/>
          <w:szCs w:val="24"/>
        </w:rPr>
        <w:t>Тус төлбөрүүдийг төсвөөс болон гадаад валютын нөөцөөс төлөх нь эдийн засагт томоохон дарамт учруулах эрсдэлтэй тул тодорхой хэсгийг дахин санхүүжүүлж, үлдсэн хэсгийг мөнгөн хуримтлалаас төлж барагдуулахаар төлөвлөж байна.</w:t>
      </w:r>
    </w:p>
    <w:p w14:paraId="286C9270" w14:textId="77777777" w:rsidR="00EB07AB" w:rsidRPr="004024BD" w:rsidRDefault="00EB07AB" w:rsidP="00EB07AB">
      <w:pPr>
        <w:pStyle w:val="NoSpacing"/>
        <w:spacing w:after="0" w:line="240" w:lineRule="auto"/>
      </w:pPr>
    </w:p>
    <w:p w14:paraId="683AA9FA" w14:textId="77777777" w:rsidR="00EB07AB" w:rsidRPr="004024BD" w:rsidRDefault="00EB07AB" w:rsidP="00EB07AB">
      <w:pPr>
        <w:pStyle w:val="Caption"/>
        <w:keepNext/>
        <w:spacing w:after="0"/>
        <w:rPr>
          <w:rFonts w:ascii="Arial" w:hAnsi="Arial" w:cs="Arial"/>
          <w:color w:val="auto"/>
          <w:sz w:val="22"/>
          <w:szCs w:val="22"/>
          <w:lang w:val="mn-MN"/>
        </w:rPr>
      </w:pPr>
      <w:r w:rsidRPr="004024BD">
        <w:rPr>
          <w:rFonts w:ascii="Times New Roman" w:hAnsi="Times New Roman" w:cs="Times New Roman"/>
          <w:noProof/>
          <w:color w:val="auto"/>
          <w:sz w:val="22"/>
          <w:szCs w:val="22"/>
          <w:lang w:val="mn-MN"/>
        </w:rPr>
        <w:lastRenderedPageBreak/>
        <w:drawing>
          <wp:anchor distT="0" distB="0" distL="114300" distR="114300" simplePos="0" relativeHeight="251661312" behindDoc="0" locked="0" layoutInCell="1" allowOverlap="1" wp14:anchorId="7F344C96" wp14:editId="146B0C82">
            <wp:simplePos x="0" y="0"/>
            <wp:positionH relativeFrom="margin">
              <wp:posOffset>346710</wp:posOffset>
            </wp:positionH>
            <wp:positionV relativeFrom="paragraph">
              <wp:posOffset>214972</wp:posOffset>
            </wp:positionV>
            <wp:extent cx="5718175" cy="2543175"/>
            <wp:effectExtent l="0" t="0" r="9525" b="9525"/>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4024BD">
        <w:rPr>
          <w:rFonts w:ascii="Arial" w:hAnsi="Arial" w:cs="Arial"/>
          <w:color w:val="auto"/>
          <w:sz w:val="22"/>
          <w:szCs w:val="22"/>
          <w:lang w:val="mn-MN"/>
        </w:rPr>
        <w:t xml:space="preserve">          </w:t>
      </w:r>
      <w:r w:rsidRPr="004024BD">
        <w:rPr>
          <w:rFonts w:ascii="Arial" w:hAnsi="Arial" w:cs="Arial"/>
          <w:color w:val="auto"/>
          <w:sz w:val="22"/>
          <w:szCs w:val="22"/>
          <w:lang w:val="mn-MN"/>
        </w:rPr>
        <w:tab/>
        <w:t>График</w:t>
      </w:r>
      <w:r w:rsidRPr="004024BD" w:rsidDel="00315F1E">
        <w:rPr>
          <w:rFonts w:ascii="Arial" w:hAnsi="Arial" w:cs="Arial"/>
          <w:color w:val="auto"/>
          <w:sz w:val="22"/>
          <w:szCs w:val="22"/>
          <w:lang w:val="mn-MN"/>
        </w:rPr>
        <w:t xml:space="preserve"> </w:t>
      </w:r>
      <w:r w:rsidRPr="004024BD">
        <w:rPr>
          <w:rFonts w:ascii="Arial" w:hAnsi="Arial" w:cs="Arial"/>
          <w:color w:val="auto"/>
          <w:sz w:val="22"/>
          <w:szCs w:val="22"/>
          <w:lang w:val="mn-MN"/>
        </w:rPr>
        <w:t>№6: Гадаад үнэт цаасны хоёрдогч зах зээлийн өгөөж, 2019-2021 он</w:t>
      </w:r>
    </w:p>
    <w:p w14:paraId="2D97CD1D" w14:textId="77777777" w:rsidR="00EB07AB" w:rsidRPr="004024BD" w:rsidRDefault="00EB07AB" w:rsidP="00EB07AB">
      <w:pPr>
        <w:pStyle w:val="ListParagraph"/>
        <w:spacing w:after="0" w:line="240" w:lineRule="auto"/>
        <w:ind w:left="5760"/>
        <w:jc w:val="both"/>
        <w:rPr>
          <w:rFonts w:ascii="Arial" w:hAnsi="Arial" w:cs="Arial"/>
          <w:i/>
          <w:lang w:val="mn-MN"/>
        </w:rPr>
      </w:pPr>
      <w:r w:rsidRPr="004024BD">
        <w:rPr>
          <w:rFonts w:ascii="Arial" w:hAnsi="Arial" w:cs="Arial"/>
          <w:lang w:val="mn-MN"/>
        </w:rPr>
        <w:t xml:space="preserve"> </w:t>
      </w:r>
      <w:r w:rsidRPr="004024BD">
        <w:rPr>
          <w:rFonts w:ascii="Arial" w:hAnsi="Arial" w:cs="Arial"/>
          <w:i/>
          <w:lang w:val="mn-MN"/>
        </w:rPr>
        <w:t xml:space="preserve">  Эх сурвалж: Блүүмберг платформ</w:t>
      </w:r>
    </w:p>
    <w:p w14:paraId="33A49D97" w14:textId="77777777" w:rsidR="00EB07AB" w:rsidRPr="004024BD" w:rsidRDefault="00EB07AB" w:rsidP="00EB07AB">
      <w:pPr>
        <w:pStyle w:val="ListParagraph"/>
        <w:spacing w:after="0" w:line="240" w:lineRule="auto"/>
        <w:ind w:left="5760"/>
        <w:jc w:val="both"/>
        <w:rPr>
          <w:rFonts w:ascii="Arial" w:hAnsi="Arial" w:cs="Arial"/>
          <w:lang w:val="mn-MN"/>
        </w:rPr>
      </w:pPr>
    </w:p>
    <w:p w14:paraId="4D3E6B58" w14:textId="77777777" w:rsidR="00EB07AB" w:rsidRPr="004024BD" w:rsidRDefault="00EB07AB" w:rsidP="00EB07AB">
      <w:pPr>
        <w:pStyle w:val="NoSpacing"/>
        <w:spacing w:after="0" w:line="240" w:lineRule="auto"/>
        <w:ind w:firstLine="720"/>
        <w:rPr>
          <w:rFonts w:ascii="Arial" w:hAnsi="Arial" w:cs="Arial"/>
          <w:sz w:val="24"/>
          <w:szCs w:val="24"/>
        </w:rPr>
      </w:pPr>
      <w:r w:rsidRPr="004024BD">
        <w:rPr>
          <w:rFonts w:ascii="Arial" w:hAnsi="Arial" w:cs="Arial"/>
          <w:sz w:val="24"/>
          <w:szCs w:val="24"/>
        </w:rPr>
        <w:t>Монгол Улсын Засгийн газраас олон улсын зах зээл дээр арилжаалсан үнэт цааснуудын хоёрдогч зах зээлийн хүүгийн түвшин өндөр үед үнэт цаасны хоёрдогч зах зээлийн үнэ нь нэрлэсэн үнээс буурдаг ба үнэт цаасны эргэн төлөгдөх хугацаанаас нь өмнө худалдан авах зардал багасдаг байна. Энэ үед буцаан худалдан авах нь өрийг дахин санхүүжүүлэх үр ашигтай арга хэмжээ бөгөөд Өрийн удирдлагын 2019-2021 оны стратегийн баримт бичгийн хэрэгжих хугацаанд Засгийн газар “Мазаалай”, “Чингис” болон “Гэрэгэ” бондуудын тодорхой хэсгийг дахин санхүүжүүлсэн байна.</w:t>
      </w:r>
    </w:p>
    <w:p w14:paraId="6EA8DF5D" w14:textId="77777777" w:rsidR="00EB07AB" w:rsidRPr="004024BD" w:rsidRDefault="00EB07AB" w:rsidP="00EB07AB">
      <w:pPr>
        <w:pStyle w:val="NoSpacing"/>
        <w:spacing w:after="0" w:line="240" w:lineRule="auto"/>
        <w:ind w:firstLine="720"/>
        <w:rPr>
          <w:rFonts w:ascii="Arial" w:hAnsi="Arial" w:cs="Arial"/>
          <w:sz w:val="24"/>
          <w:szCs w:val="24"/>
        </w:rPr>
      </w:pPr>
    </w:p>
    <w:p w14:paraId="5F8DEF2A" w14:textId="77777777" w:rsidR="00EB07AB" w:rsidRPr="004024BD" w:rsidRDefault="00EB07AB" w:rsidP="00EB07AB">
      <w:pPr>
        <w:pStyle w:val="NoSpacing"/>
        <w:spacing w:after="0" w:line="240" w:lineRule="auto"/>
        <w:ind w:firstLine="720"/>
        <w:rPr>
          <w:rFonts w:ascii="Arial" w:hAnsi="Arial" w:cs="Arial"/>
          <w:sz w:val="24"/>
          <w:szCs w:val="24"/>
        </w:rPr>
      </w:pPr>
      <w:r w:rsidRPr="004024BD">
        <w:rPr>
          <w:rFonts w:ascii="Arial" w:hAnsi="Arial" w:cs="Arial"/>
          <w:sz w:val="24"/>
          <w:szCs w:val="24"/>
        </w:rPr>
        <w:t xml:space="preserve">Түүнчлэн “Чингис”, “Гэрэгэ”, “Хуралдай”, “Номад” болон “Сенчири” </w:t>
      </w:r>
      <w:r w:rsidRPr="004024BD">
        <w:rPr>
          <w:rFonts w:ascii="Arial" w:hAnsi="Arial" w:cs="Arial"/>
          <w:color w:val="000000" w:themeColor="text1"/>
          <w:sz w:val="24"/>
          <w:szCs w:val="24"/>
        </w:rPr>
        <w:t>төслийн</w:t>
      </w:r>
      <w:r w:rsidRPr="004024BD">
        <w:rPr>
          <w:rFonts w:ascii="Arial" w:hAnsi="Arial" w:cs="Arial"/>
          <w:sz w:val="24"/>
          <w:szCs w:val="24"/>
        </w:rPr>
        <w:t xml:space="preserve"> хүрээнд гаргасан үнэт цааснуудын хоёрдогч зах зээлийн өгөөж 2021 оны жилийн эцсийн байдлаар 2.0-оос 5.0 хувьтай байна.</w:t>
      </w:r>
    </w:p>
    <w:p w14:paraId="631D0C2D" w14:textId="77777777" w:rsidR="00EB07AB" w:rsidRPr="004024BD" w:rsidRDefault="00EB07AB" w:rsidP="00EB07AB">
      <w:pPr>
        <w:pStyle w:val="NoSpacing"/>
        <w:spacing w:after="0" w:line="240" w:lineRule="auto"/>
        <w:ind w:firstLine="540"/>
        <w:rPr>
          <w:rFonts w:ascii="Arial" w:hAnsi="Arial" w:cs="Arial"/>
          <w:sz w:val="24"/>
          <w:szCs w:val="24"/>
        </w:rPr>
      </w:pPr>
    </w:p>
    <w:p w14:paraId="6C690618" w14:textId="77777777" w:rsidR="00EB07AB" w:rsidRPr="004024BD" w:rsidRDefault="00EB07AB" w:rsidP="00EB07AB">
      <w:pPr>
        <w:pStyle w:val="NoSpacing"/>
        <w:spacing w:after="0" w:line="240" w:lineRule="auto"/>
        <w:ind w:firstLine="540"/>
        <w:rPr>
          <w:rFonts w:ascii="Arial" w:hAnsi="Arial" w:cs="Arial"/>
          <w:sz w:val="24"/>
          <w:szCs w:val="24"/>
        </w:rPr>
        <w:sectPr w:rsidR="00EB07AB" w:rsidRPr="004024BD" w:rsidSect="002A2F8C">
          <w:footerReference w:type="default" r:id="rId17"/>
          <w:type w:val="continuous"/>
          <w:pgSz w:w="11906" w:h="16838" w:code="9"/>
          <w:pgMar w:top="1134" w:right="851" w:bottom="851" w:left="1247" w:header="720" w:footer="720" w:gutter="0"/>
          <w:cols w:space="720"/>
          <w:titlePg/>
          <w:docGrid w:linePitch="360"/>
        </w:sectPr>
      </w:pPr>
    </w:p>
    <w:p w14:paraId="141BA834" w14:textId="77777777" w:rsidR="00EB07AB" w:rsidRPr="004024BD" w:rsidRDefault="00EB07AB" w:rsidP="00EB07AB">
      <w:pPr>
        <w:pStyle w:val="NoSpacing"/>
        <w:spacing w:after="0" w:line="240" w:lineRule="auto"/>
        <w:rPr>
          <w:rFonts w:ascii="Arial" w:hAnsi="Arial" w:cs="Arial"/>
          <w:b/>
          <w:sz w:val="24"/>
          <w:szCs w:val="24"/>
        </w:rPr>
      </w:pPr>
      <w:r w:rsidRPr="004024BD">
        <w:rPr>
          <w:rFonts w:ascii="Arial" w:hAnsi="Arial" w:cs="Arial"/>
          <w:sz w:val="24"/>
          <w:szCs w:val="24"/>
        </w:rPr>
        <w:tab/>
      </w:r>
      <w:r w:rsidRPr="004024BD">
        <w:rPr>
          <w:rFonts w:ascii="Arial" w:hAnsi="Arial" w:cs="Arial"/>
          <w:b/>
          <w:sz w:val="24"/>
          <w:szCs w:val="24"/>
        </w:rPr>
        <w:t xml:space="preserve">2.3.Дотоодын банк, санхүү, хөрөнгийн зах зээлээс татах боломжит эх үүсвэр </w:t>
      </w:r>
    </w:p>
    <w:p w14:paraId="04109282" w14:textId="77777777" w:rsidR="00EB07AB" w:rsidRPr="004024BD" w:rsidRDefault="00EB07AB" w:rsidP="00EB07AB">
      <w:pPr>
        <w:pStyle w:val="NoSpacing"/>
        <w:spacing w:after="0" w:line="240" w:lineRule="auto"/>
        <w:rPr>
          <w:rFonts w:ascii="Arial" w:hAnsi="Arial" w:cs="Arial"/>
          <w:sz w:val="24"/>
          <w:szCs w:val="24"/>
        </w:rPr>
      </w:pPr>
    </w:p>
    <w:p w14:paraId="0AD140E0" w14:textId="77777777" w:rsidR="00EB07AB" w:rsidRPr="004024BD" w:rsidRDefault="00EB07AB" w:rsidP="00EB07AB">
      <w:pPr>
        <w:pStyle w:val="NoSpacing"/>
        <w:spacing w:after="0" w:line="240" w:lineRule="auto"/>
        <w:ind w:firstLine="720"/>
        <w:rPr>
          <w:rFonts w:ascii="Arial" w:hAnsi="Arial" w:cs="Arial"/>
          <w:sz w:val="24"/>
          <w:szCs w:val="24"/>
        </w:rPr>
      </w:pPr>
      <w:r w:rsidRPr="004024BD">
        <w:rPr>
          <w:rFonts w:ascii="Arial" w:hAnsi="Arial" w:cs="Arial"/>
          <w:sz w:val="24"/>
          <w:szCs w:val="24"/>
        </w:rPr>
        <w:t>З</w:t>
      </w:r>
      <w:r w:rsidRPr="004024BD" w:rsidDel="003A4D3B">
        <w:rPr>
          <w:rFonts w:ascii="Arial" w:hAnsi="Arial" w:cs="Arial"/>
          <w:sz w:val="24"/>
          <w:szCs w:val="24"/>
        </w:rPr>
        <w:t xml:space="preserve">асгийн газар </w:t>
      </w:r>
      <w:r w:rsidRPr="004024BD">
        <w:rPr>
          <w:rFonts w:ascii="Arial" w:hAnsi="Arial" w:cs="Arial"/>
          <w:sz w:val="24"/>
          <w:szCs w:val="24"/>
        </w:rPr>
        <w:t>нийт 16.0 их наяд төгрөгтэй тэнцэх хэмжээний үнэт цаасыг 2010 оноос 2017 оны хооронд арилжаалсан байна. Үүнээс 10.6 их наяд төгрөгтэй тэнцэх хэмжээний үнэт цаасыг арилжааны банк, 1.1 их наяд төгрөгтэй тэнцэх хэмжээний үнэт цаасыг Монголбанк, үлдсэн хувийг иргэн, аж ахуйн нэгж, шууд бус хөрөнгө оруулагчид, гадаадын хөрөнгө оруулагчид худалдан авсан.</w:t>
      </w:r>
    </w:p>
    <w:p w14:paraId="18B274F8" w14:textId="77777777" w:rsidR="00EB07AB" w:rsidRPr="004024BD" w:rsidRDefault="00EB07AB" w:rsidP="00EB07AB">
      <w:pPr>
        <w:spacing w:after="0" w:line="240" w:lineRule="auto"/>
        <w:ind w:firstLine="720"/>
        <w:jc w:val="both"/>
        <w:rPr>
          <w:rFonts w:ascii="Arial" w:hAnsi="Arial" w:cs="Arial"/>
          <w:sz w:val="24"/>
          <w:szCs w:val="24"/>
          <w:lang w:val="mn-MN"/>
        </w:rPr>
      </w:pPr>
    </w:p>
    <w:p w14:paraId="113E0C4A" w14:textId="77777777" w:rsidR="00EB07AB" w:rsidRPr="004024BD" w:rsidRDefault="00EB07AB" w:rsidP="00EB07AB">
      <w:pPr>
        <w:spacing w:after="0" w:line="240" w:lineRule="auto"/>
        <w:ind w:firstLine="720"/>
        <w:jc w:val="both"/>
        <w:rPr>
          <w:rFonts w:ascii="Arial" w:hAnsi="Arial" w:cs="Arial"/>
          <w:sz w:val="24"/>
          <w:szCs w:val="24"/>
          <w:lang w:val="mn-MN"/>
        </w:rPr>
      </w:pPr>
      <w:r w:rsidRPr="004024BD">
        <w:rPr>
          <w:rFonts w:ascii="Arial" w:hAnsi="Arial" w:cs="Arial"/>
          <w:sz w:val="24"/>
          <w:szCs w:val="24"/>
          <w:lang w:val="mn-MN"/>
        </w:rPr>
        <w:t>Монголын хөрөнгийн биржээс 2021 оны жилийн эцсийн байдлаар гаргасан тоо баримтаар нийт 1.4 их наяд төгрөгийн үнэт цаасыг арилжаалсан байна. Үүнээс 74.1 хувийг компанийн үнэт цаас, 21.6 хувийг энгийн хувьцаа, үлдсэн 4.3 хувийг бусад үнэт цаас эзэлж байна. Энэ нь өмнөх оны мөн үетэй харьцуулахад 21.6 дахин өссөн үзүүлэлт юм.</w:t>
      </w:r>
    </w:p>
    <w:p w14:paraId="146A1D38" w14:textId="77777777" w:rsidR="00EB07AB" w:rsidRPr="004024BD" w:rsidRDefault="00EB07AB" w:rsidP="00EB07AB">
      <w:pPr>
        <w:spacing w:after="0" w:line="240" w:lineRule="auto"/>
        <w:ind w:firstLine="720"/>
        <w:jc w:val="both"/>
        <w:rPr>
          <w:rFonts w:ascii="Arial" w:hAnsi="Arial" w:cs="Arial"/>
          <w:sz w:val="24"/>
          <w:szCs w:val="24"/>
          <w:lang w:val="mn-MN"/>
        </w:rPr>
      </w:pPr>
    </w:p>
    <w:p w14:paraId="45EFB8DF" w14:textId="77777777" w:rsidR="00EB07AB" w:rsidRPr="004024BD" w:rsidRDefault="00EB07AB" w:rsidP="00EB07AB">
      <w:pPr>
        <w:spacing w:after="0" w:line="240" w:lineRule="auto"/>
        <w:ind w:firstLine="720"/>
        <w:jc w:val="both"/>
        <w:rPr>
          <w:rFonts w:ascii="Arial" w:hAnsi="Arial" w:cs="Arial"/>
          <w:sz w:val="24"/>
          <w:szCs w:val="24"/>
          <w:lang w:val="mn-MN"/>
        </w:rPr>
      </w:pPr>
      <w:r w:rsidRPr="004024BD">
        <w:rPr>
          <w:rFonts w:ascii="Arial" w:hAnsi="Arial" w:cs="Arial"/>
          <w:sz w:val="24"/>
          <w:szCs w:val="24"/>
          <w:lang w:val="mn-MN"/>
        </w:rPr>
        <w:t>Арилжаанд оролцогчдын дийлэнх нь дотоодын иргэн, аж ахуйн нэгж ба 2021 оны жилийн эцсийн байдлаар дотоодын аж ахуйн нэгжийн хийсэн арилжаа өмнөх оны мөн үеэс 17.3 хувиар, харин иргэдийн хийсэн арилжаа 5.2 хувиар тус тус өссөн нь дотоодын иргэд, аж ахуйн нэгжүүд банкны хадгаламжаас татгалзаж үнэт цаасны арилжаанд хөрөнгө оруулж байгааг харуулжээ.</w:t>
      </w:r>
    </w:p>
    <w:p w14:paraId="18942073" w14:textId="77777777" w:rsidR="00EB07AB" w:rsidRPr="004024BD" w:rsidRDefault="00EB07AB" w:rsidP="00EB07AB">
      <w:pPr>
        <w:spacing w:after="0" w:line="240" w:lineRule="auto"/>
        <w:ind w:firstLine="720"/>
        <w:jc w:val="both"/>
        <w:rPr>
          <w:rFonts w:ascii="Arial" w:hAnsi="Arial" w:cs="Arial"/>
          <w:sz w:val="24"/>
          <w:szCs w:val="24"/>
          <w:lang w:val="mn-MN"/>
        </w:rPr>
      </w:pPr>
    </w:p>
    <w:p w14:paraId="05ADA2AA" w14:textId="77777777" w:rsidR="00EB07AB" w:rsidRPr="004024BD" w:rsidRDefault="00EB07AB" w:rsidP="00EB07AB">
      <w:pPr>
        <w:spacing w:after="0" w:line="240" w:lineRule="auto"/>
        <w:jc w:val="both"/>
        <w:rPr>
          <w:rFonts w:ascii="Arial" w:hAnsi="Arial" w:cs="Arial"/>
          <w:sz w:val="24"/>
          <w:szCs w:val="24"/>
          <w:lang w:val="mn-MN"/>
        </w:rPr>
      </w:pPr>
      <w:r w:rsidRPr="004024BD">
        <w:rPr>
          <w:rFonts w:ascii="Arial" w:hAnsi="Arial" w:cs="Arial"/>
          <w:sz w:val="24"/>
          <w:szCs w:val="24"/>
          <w:lang w:val="mn-MN"/>
        </w:rPr>
        <w:lastRenderedPageBreak/>
        <w:tab/>
        <w:t>Иймд Засгийн газраас төсвийн алдагдлыг санхүүжүүлэх, санхүүгийн зах зээлийг хөгжүүлэх, Засгийн газрын мөнгөн хөрөнгийн удирдлагыг сайжруулах, улсын төсвийн улирлын чанартай орлого, зарлагын зөрүүг бага зардлаар цаг хугацаанд нь санхүүжүүлэх болон төсвийн санхүүжилтийг хугацаанд нь олгох зорилгоор 2022 оны нэгдсэн төсөвт нийт 2.2 их наяд төгрөгийн Засгийн газрын дотоод үнэт цаас гаргахаар тусгагдсан бөгөөд Засгийн газрын үнэт цаасанд хөрөнгө оруулах сонирхолтой гадаад, дотоодын иргэд, аж ахуйн нэгжүүдийг өргөнөөр оролцуулахаар төлөвлөсөн. Санхүүгийн зах зээлийг хөгжүүлэх, Засгийн газрын мөнгөн хөрөнгийн удирдлагыг сайжруулах, улсын төсвийн улирлын чанартай орлого, зарлагын зөрүүг бага зардлаар цаг хугацаанд нь санхүүжүүлэх болон төсвийн санхүүжилтийг хугацаанд нь олгоход Засгийн газрын дотоод үнэт цаас чухал үүрэгтэй. Мөн Засгийн газрын дотоод үнэт цаас нь эрсдэлгүй үнэт цаасанд тооцогддог учир гадаадын хөрөнгө оруулагчдын анхаарлыг ихээр татдаг үнэт цаасны төрөл юм.</w:t>
      </w:r>
    </w:p>
    <w:p w14:paraId="714600C9" w14:textId="77777777" w:rsidR="00EB07AB" w:rsidRPr="004024BD" w:rsidRDefault="00EB07AB" w:rsidP="00EB07AB">
      <w:pPr>
        <w:spacing w:after="0" w:line="240" w:lineRule="auto"/>
        <w:jc w:val="both"/>
        <w:rPr>
          <w:rFonts w:ascii="Arial" w:hAnsi="Arial" w:cs="Arial"/>
          <w:lang w:val="mn-MN"/>
        </w:rPr>
      </w:pPr>
    </w:p>
    <w:p w14:paraId="25992598" w14:textId="77777777" w:rsidR="00EB07AB" w:rsidRPr="004024BD" w:rsidRDefault="00EB07AB" w:rsidP="00EB07AB">
      <w:pPr>
        <w:spacing w:after="0" w:line="240" w:lineRule="auto"/>
        <w:jc w:val="both"/>
        <w:rPr>
          <w:rFonts w:ascii="Arial" w:hAnsi="Arial" w:cs="Arial"/>
          <w:sz w:val="24"/>
          <w:szCs w:val="24"/>
          <w:lang w:val="mn-MN"/>
        </w:rPr>
      </w:pPr>
      <w:r w:rsidRPr="004024BD">
        <w:rPr>
          <w:rFonts w:ascii="Arial" w:hAnsi="Arial" w:cs="Arial"/>
          <w:lang w:val="mn-MN"/>
        </w:rPr>
        <w:tab/>
      </w:r>
      <w:r w:rsidRPr="004024BD">
        <w:rPr>
          <w:rFonts w:ascii="Arial" w:hAnsi="Arial" w:cs="Arial"/>
          <w:sz w:val="24"/>
          <w:szCs w:val="24"/>
          <w:lang w:val="mn-MN"/>
        </w:rPr>
        <w:t>Монголбанкнаас 2022 оны 03 дугаар сард бодлогын хүүг 2.5 хувиар өсгөж 9 хувь болгосон бөгөөд тус онд арилжаалахаар төлөвлөж байсан Засгийн газрын дотоод үнэт цаасны хүү өсөхөөр байна. Засгийн газрын дотоод үнэт цаасны 90 гаруй хувийг арилжааны банкууд эзэлж байсан бөгөөд Төв банкны үнэт цаас</w:t>
      </w:r>
      <w:r w:rsidRPr="004024BD" w:rsidDel="00FB66DB">
        <w:rPr>
          <w:rFonts w:ascii="Arial" w:hAnsi="Arial" w:cs="Arial"/>
          <w:sz w:val="24"/>
          <w:szCs w:val="24"/>
          <w:lang w:val="mn-MN"/>
        </w:rPr>
        <w:t>н</w:t>
      </w:r>
      <w:r w:rsidRPr="004024BD">
        <w:rPr>
          <w:rFonts w:ascii="Arial" w:hAnsi="Arial" w:cs="Arial"/>
          <w:sz w:val="24"/>
          <w:szCs w:val="24"/>
          <w:lang w:val="mn-MN"/>
        </w:rPr>
        <w:t>ы хүүгээс илүү хүүгээр арилжаалахад богино хугацаат үнэт цаас авах эрэлт өндөр байна.</w:t>
      </w:r>
    </w:p>
    <w:p w14:paraId="7F43F462" w14:textId="77777777" w:rsidR="00EB07AB" w:rsidRPr="004024BD" w:rsidRDefault="00EB07AB" w:rsidP="00EB07AB">
      <w:pPr>
        <w:spacing w:after="0" w:line="240" w:lineRule="auto"/>
        <w:jc w:val="both"/>
        <w:rPr>
          <w:rFonts w:ascii="Arial" w:hAnsi="Arial" w:cs="Arial"/>
          <w:sz w:val="24"/>
          <w:szCs w:val="24"/>
          <w:lang w:val="mn-MN"/>
        </w:rPr>
      </w:pPr>
    </w:p>
    <w:p w14:paraId="6D034E55" w14:textId="77777777" w:rsidR="00EB07AB" w:rsidRPr="004024BD" w:rsidRDefault="00EB07AB" w:rsidP="00EB07AB">
      <w:pPr>
        <w:spacing w:after="0" w:line="240" w:lineRule="auto"/>
        <w:jc w:val="center"/>
        <w:rPr>
          <w:rFonts w:ascii="Arial" w:hAnsi="Arial" w:cs="Arial"/>
          <w:b/>
          <w:sz w:val="24"/>
          <w:szCs w:val="24"/>
          <w:lang w:val="mn-MN"/>
        </w:rPr>
      </w:pPr>
      <w:r w:rsidRPr="004024BD">
        <w:rPr>
          <w:rFonts w:ascii="Arial" w:hAnsi="Arial" w:cs="Arial"/>
          <w:b/>
          <w:sz w:val="24"/>
          <w:szCs w:val="24"/>
          <w:lang w:val="mn-MN"/>
        </w:rPr>
        <w:t xml:space="preserve">3.ЗАСГИЙН ГАЗРЫН ӨРИЙН БАТАЛГААНЫ БАГЦЫН </w:t>
      </w:r>
    </w:p>
    <w:p w14:paraId="32E10119" w14:textId="77777777" w:rsidR="00EB07AB" w:rsidRPr="004024BD" w:rsidRDefault="00EB07AB" w:rsidP="00EB07AB">
      <w:pPr>
        <w:spacing w:after="0" w:line="240" w:lineRule="auto"/>
        <w:jc w:val="center"/>
        <w:rPr>
          <w:rFonts w:ascii="Arial" w:hAnsi="Arial" w:cs="Arial"/>
          <w:b/>
          <w:sz w:val="24"/>
          <w:szCs w:val="24"/>
          <w:lang w:val="mn-MN"/>
        </w:rPr>
      </w:pPr>
      <w:r w:rsidRPr="004024BD">
        <w:rPr>
          <w:rFonts w:ascii="Arial" w:hAnsi="Arial" w:cs="Arial"/>
          <w:b/>
          <w:sz w:val="24"/>
          <w:szCs w:val="24"/>
          <w:lang w:val="mn-MN"/>
        </w:rPr>
        <w:t>ӨНӨӨГИЙН НӨХЦӨЛ БАЙДАЛ</w:t>
      </w:r>
      <w:r w:rsidRPr="004024BD" w:rsidDel="00F5243A">
        <w:rPr>
          <w:rFonts w:ascii="Arial" w:hAnsi="Arial" w:cs="Arial"/>
          <w:b/>
          <w:sz w:val="24"/>
          <w:szCs w:val="24"/>
          <w:lang w:val="mn-MN"/>
        </w:rPr>
        <w:t xml:space="preserve"> </w:t>
      </w:r>
    </w:p>
    <w:p w14:paraId="7CF3FD69" w14:textId="77777777" w:rsidR="00EB07AB" w:rsidRPr="004024BD" w:rsidRDefault="00EB07AB" w:rsidP="00EB07AB">
      <w:pPr>
        <w:spacing w:after="0" w:line="240" w:lineRule="auto"/>
        <w:jc w:val="center"/>
        <w:rPr>
          <w:sz w:val="24"/>
          <w:szCs w:val="24"/>
          <w:lang w:val="mn-MN"/>
        </w:rPr>
      </w:pPr>
    </w:p>
    <w:p w14:paraId="374DA379" w14:textId="77777777" w:rsidR="00EB07AB" w:rsidRPr="004024BD" w:rsidRDefault="00EB07AB" w:rsidP="00EB07AB">
      <w:pPr>
        <w:spacing w:after="0" w:line="240" w:lineRule="auto"/>
        <w:jc w:val="center"/>
        <w:rPr>
          <w:sz w:val="24"/>
          <w:szCs w:val="24"/>
          <w:lang w:val="mn-MN"/>
        </w:rPr>
        <w:sectPr w:rsidR="00EB07AB" w:rsidRPr="004024BD" w:rsidSect="002A2F8C">
          <w:type w:val="continuous"/>
          <w:pgSz w:w="11906" w:h="16838" w:code="9"/>
          <w:pgMar w:top="1134" w:right="851" w:bottom="851" w:left="1247" w:header="720" w:footer="720" w:gutter="0"/>
          <w:pgNumType w:start="0"/>
          <w:cols w:space="720"/>
          <w:titlePg/>
          <w:docGrid w:linePitch="360"/>
        </w:sectPr>
      </w:pPr>
    </w:p>
    <w:p w14:paraId="38853C63"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Засгийн газраас 2016 оны 06 дугаар сараас хойш шинээр Засгийн газрын өрийн баталгаа гаргаагүй бөгөөд цаашид Засгийн газрын өрийн баталгаа гаргахгүй байх, гаргасан баталгаат зээллэгийн эргэн төлөлтөд тавих хяналтыг сайжруулах бодлогыг баримталж байна.</w:t>
      </w:r>
    </w:p>
    <w:p w14:paraId="6A6A7D3A" w14:textId="77777777" w:rsidR="00EB07AB" w:rsidRPr="004024BD" w:rsidRDefault="00EB07AB" w:rsidP="00EB07AB">
      <w:pPr>
        <w:pStyle w:val="NoSpacing"/>
        <w:spacing w:after="0" w:line="240" w:lineRule="auto"/>
        <w:rPr>
          <w:rFonts w:ascii="Arial" w:hAnsi="Arial" w:cs="Arial"/>
          <w:sz w:val="24"/>
          <w:szCs w:val="24"/>
        </w:rPr>
      </w:pPr>
    </w:p>
    <w:p w14:paraId="1252FD0E"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Өрийн удирдлагын тухай хуулийг батлахаас өмнө Монгол Улсын Хөгжлийн банкны 580.0 сая ам.долларын “Евро” бонд, “Самурай” бонд, Кредит Свисс банкнаас авсан зээл, Хятадын Хөгжлийн банкнаас авсан зээл, “МИАТ” ХК-ийн нисэх онгоц худалдан авах зээлд Засгийн газрын өрийн баталгаа гаргасан бол Өрийн удирдлагын тухай хуулийг баталснаас хойш Худалдаа хөгжлийн банкны олон улсын зах зээлд арилжаалсан бонд, Хөгжлийн банкны ОХУ-ын ВТБ банкнаас авсан зээл, “Эрдэнэс Монгол” ХХК-ийн Азийн хөгжлийн банкнаас авсан зээлд тус тус Засгийн газрын өрийн баталгаа гаргасан байна.</w:t>
      </w:r>
      <w:r w:rsidRPr="004024BD" w:rsidDel="003A3DC5">
        <w:rPr>
          <w:rFonts w:ascii="Arial" w:hAnsi="Arial" w:cs="Arial"/>
          <w:sz w:val="24"/>
          <w:szCs w:val="24"/>
        </w:rPr>
        <w:t xml:space="preserve"> </w:t>
      </w:r>
    </w:p>
    <w:p w14:paraId="14C2B38B" w14:textId="77777777" w:rsidR="00EB07AB" w:rsidRPr="004024BD" w:rsidRDefault="00EB07AB" w:rsidP="00EB07AB">
      <w:pPr>
        <w:pStyle w:val="NoSpacing"/>
        <w:spacing w:after="0" w:line="240" w:lineRule="auto"/>
        <w:rPr>
          <w:rFonts w:ascii="Arial" w:hAnsi="Arial" w:cs="Arial"/>
          <w:sz w:val="24"/>
          <w:szCs w:val="24"/>
        </w:rPr>
      </w:pPr>
    </w:p>
    <w:p w14:paraId="0C6E8A7B" w14:textId="77777777" w:rsidR="00EB07AB" w:rsidRPr="004024BD" w:rsidRDefault="00EB07AB" w:rsidP="00EB07AB">
      <w:pPr>
        <w:pStyle w:val="NoSpacing"/>
        <w:spacing w:after="0" w:line="240" w:lineRule="auto"/>
        <w:ind w:firstLine="720"/>
        <w:rPr>
          <w:rFonts w:ascii="Arial" w:hAnsi="Arial" w:cs="Arial"/>
          <w:b/>
          <w:sz w:val="24"/>
          <w:szCs w:val="24"/>
        </w:rPr>
      </w:pPr>
      <w:r w:rsidRPr="004024BD">
        <w:rPr>
          <w:rFonts w:ascii="Arial" w:hAnsi="Arial" w:cs="Arial"/>
          <w:b/>
          <w:sz w:val="24"/>
          <w:szCs w:val="24"/>
        </w:rPr>
        <w:t>Засгийн газрын баталгааны талаар дэлгэрэнгүй мэдээлэл</w:t>
      </w:r>
    </w:p>
    <w:p w14:paraId="07C33FE4" w14:textId="77777777" w:rsidR="00EB07AB" w:rsidRPr="004024BD" w:rsidRDefault="00EB07AB" w:rsidP="00EB07AB">
      <w:pPr>
        <w:pStyle w:val="NoSpacing"/>
        <w:spacing w:after="0" w:line="240" w:lineRule="auto"/>
        <w:ind w:firstLine="720"/>
        <w:rPr>
          <w:rFonts w:ascii="Arial" w:hAnsi="Arial" w:cs="Arial"/>
          <w:b/>
          <w:sz w:val="24"/>
          <w:szCs w:val="24"/>
        </w:rPr>
      </w:pPr>
    </w:p>
    <w:p w14:paraId="6876D1F0" w14:textId="77777777" w:rsidR="00EB07AB" w:rsidRPr="004024BD" w:rsidRDefault="00EB07AB" w:rsidP="00EB07AB">
      <w:pPr>
        <w:pStyle w:val="NoSpacing"/>
        <w:spacing w:after="0" w:line="240" w:lineRule="auto"/>
        <w:rPr>
          <w:rFonts w:ascii="Arial" w:hAnsi="Arial" w:cs="Arial"/>
          <w:b/>
          <w:sz w:val="24"/>
          <w:szCs w:val="24"/>
        </w:rPr>
      </w:pPr>
      <w:r w:rsidRPr="004024BD">
        <w:rPr>
          <w:rFonts w:ascii="Arial" w:hAnsi="Arial" w:cs="Arial"/>
          <w:b/>
          <w:sz w:val="24"/>
          <w:szCs w:val="24"/>
        </w:rPr>
        <w:tab/>
        <w:t>3.1.Хөгжлийн банкны “Самурай” бонд</w:t>
      </w:r>
    </w:p>
    <w:p w14:paraId="3160C24C" w14:textId="77777777" w:rsidR="00EB07AB" w:rsidRPr="004024BD" w:rsidRDefault="00EB07AB" w:rsidP="00EB07AB">
      <w:pPr>
        <w:pStyle w:val="NoSpacing"/>
        <w:spacing w:after="0" w:line="240" w:lineRule="auto"/>
        <w:rPr>
          <w:rFonts w:ascii="Arial" w:hAnsi="Arial" w:cs="Arial"/>
          <w:b/>
          <w:sz w:val="24"/>
          <w:szCs w:val="24"/>
        </w:rPr>
      </w:pPr>
    </w:p>
    <w:p w14:paraId="680ABCD7"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 xml:space="preserve">Монгол Улсын Хөгжлийн банкны 30.0 тэрбум иентэй тэнцэх хэмжээний 10 жилийн хугацаатай “Самурай” </w:t>
      </w:r>
      <w:r w:rsidRPr="004024BD">
        <w:rPr>
          <w:rFonts w:ascii="Arial" w:hAnsi="Arial" w:cs="Arial"/>
          <w:color w:val="000000" w:themeColor="text1"/>
          <w:sz w:val="24"/>
          <w:szCs w:val="24"/>
        </w:rPr>
        <w:t xml:space="preserve">бондыг </w:t>
      </w:r>
      <w:r w:rsidRPr="004024BD">
        <w:rPr>
          <w:rFonts w:ascii="Arial" w:hAnsi="Arial" w:cs="Arial"/>
          <w:sz w:val="24"/>
          <w:szCs w:val="24"/>
        </w:rPr>
        <w:t>Япон Улсын зах зээлд Японы Хамтын ажиллагааны банкны баталгаатайгаар /JBIC</w:t>
      </w:r>
      <w:r w:rsidRPr="004024BD">
        <w:rPr>
          <w:rStyle w:val="FootnoteReference"/>
          <w:rFonts w:ascii="Arial" w:hAnsi="Arial" w:cs="Arial"/>
          <w:sz w:val="24"/>
          <w:szCs w:val="24"/>
        </w:rPr>
        <w:footnoteReference w:id="4"/>
      </w:r>
      <w:r w:rsidRPr="004024BD">
        <w:rPr>
          <w:rFonts w:ascii="Arial" w:hAnsi="Arial" w:cs="Arial"/>
          <w:sz w:val="24"/>
          <w:szCs w:val="24"/>
        </w:rPr>
        <w:t xml:space="preserve">/ жилийн 1.52 хувийн хүүтэйгээр арилжаалсан. Хөрөнгө оруулагчидтай хийсэн бонд арилжаалах гэрээний дагуу үйл ажиллагааны зардал, шимтгэлийг хассан дүнгээр “Самурай” </w:t>
      </w:r>
      <w:r w:rsidRPr="004024BD">
        <w:rPr>
          <w:rFonts w:ascii="Arial" w:hAnsi="Arial" w:cs="Arial"/>
          <w:color w:val="000000" w:themeColor="text1"/>
          <w:sz w:val="24"/>
          <w:szCs w:val="24"/>
        </w:rPr>
        <w:t>бонды</w:t>
      </w:r>
      <w:r w:rsidRPr="004024BD">
        <w:rPr>
          <w:rFonts w:ascii="Arial" w:hAnsi="Arial" w:cs="Arial"/>
          <w:sz w:val="24"/>
          <w:szCs w:val="24"/>
        </w:rPr>
        <w:t xml:space="preserve">н эх үүсвэр 24.3 тэрбум иен 2014 оны 01 дүгээр сард Хөгжлийн банкны холбогдох дансанд шилжин орж ирсэн. Уг бондын хугацаа 2023 онд дуусах бөгөөд Хөгжлийн банк хүүгийн төлбөрийг тухай бүр бүрэн төлж барагдуулж байна. 2021 оны жилийн эцсийн байдлаар “Самурай” бондын үлдэгдэл төлбөр 30.0 тэрбум иен байна. </w:t>
      </w:r>
    </w:p>
    <w:p w14:paraId="7EFB7F22" w14:textId="77777777" w:rsidR="00EB07AB" w:rsidRPr="004024BD" w:rsidRDefault="00EB07AB" w:rsidP="00EB07AB">
      <w:pPr>
        <w:pStyle w:val="NoSpacing"/>
        <w:spacing w:after="0" w:line="240" w:lineRule="auto"/>
        <w:rPr>
          <w:rFonts w:ascii="Arial" w:hAnsi="Arial" w:cs="Arial"/>
          <w:b/>
          <w:sz w:val="24"/>
          <w:szCs w:val="24"/>
        </w:rPr>
      </w:pPr>
      <w:r w:rsidRPr="004024BD">
        <w:rPr>
          <w:rFonts w:ascii="Arial" w:hAnsi="Arial" w:cs="Arial"/>
          <w:b/>
        </w:rPr>
        <w:lastRenderedPageBreak/>
        <w:tab/>
      </w:r>
      <w:r w:rsidRPr="004024BD">
        <w:rPr>
          <w:rFonts w:ascii="Arial" w:hAnsi="Arial" w:cs="Arial"/>
          <w:b/>
          <w:sz w:val="24"/>
          <w:szCs w:val="24"/>
        </w:rPr>
        <w:t>3.2.Хятадын Хөгжлийн банкны зээл</w:t>
      </w:r>
    </w:p>
    <w:p w14:paraId="1149454C" w14:textId="77777777" w:rsidR="00EB07AB" w:rsidRPr="004024BD" w:rsidRDefault="00EB07AB" w:rsidP="00EB07AB">
      <w:pPr>
        <w:pStyle w:val="NoSpacing"/>
        <w:spacing w:after="0" w:line="240" w:lineRule="auto"/>
        <w:rPr>
          <w:rFonts w:ascii="Arial" w:hAnsi="Arial" w:cs="Arial"/>
          <w:b/>
          <w:sz w:val="24"/>
          <w:szCs w:val="24"/>
        </w:rPr>
      </w:pPr>
    </w:p>
    <w:p w14:paraId="42F43785" w14:textId="77777777" w:rsidR="00EB07AB" w:rsidRPr="004024BD" w:rsidRDefault="00EB07AB" w:rsidP="00EB07AB">
      <w:pPr>
        <w:pStyle w:val="NoSpacing"/>
        <w:spacing w:after="0" w:line="240" w:lineRule="auto"/>
        <w:ind w:firstLine="720"/>
        <w:rPr>
          <w:rFonts w:ascii="Arial" w:hAnsi="Arial" w:cs="Arial"/>
          <w:sz w:val="24"/>
          <w:szCs w:val="24"/>
        </w:rPr>
      </w:pPr>
      <w:r w:rsidRPr="004024BD">
        <w:rPr>
          <w:rFonts w:ascii="Arial" w:hAnsi="Arial" w:cs="Arial"/>
          <w:sz w:val="24"/>
          <w:szCs w:val="24"/>
        </w:rPr>
        <w:t>Хятадын Хөгжлийн банк, Монгол Улсын Хөгжлийн банк хооронд 2013 оны 12 дугаар сарын 25-ны өдөр байгуулсан Хамтын ажиллагааны санамж бичгийн хүрээнд хоёр банкны хамтын ажиллагааг эрчимжүүлэх, БНХАУ-ын оролцоотой хэрэгжиж байгаа төслүүдийг санхүүжүүлэхэд хамтран ажиллах зорилготойгоор Засгийн газрын 2014 оны 116 дугаар тогтоолын дагуу Хятадын Хөгжлийн банкнаас авах 162.0 сая ам.долларын зээлд Монгол Улсын Засгийн газар өрийн  баталгаа гаргасан. Зээлийн хугацаа нь 8 жил, зээлийн үндсэн төлбөрөөс чөлөөлөх хугацаа 3 жил, жилийн тогтмол 6 хувийн хүүтэй бөгөөд 2021 оны жилийн эцсийн байдлаар 27.5 сая ам.долларын үлдэгдэлтэй байна.</w:t>
      </w:r>
    </w:p>
    <w:p w14:paraId="2E02CB06" w14:textId="77777777" w:rsidR="00EB07AB" w:rsidRPr="004024BD" w:rsidRDefault="00EB07AB" w:rsidP="00EB07AB">
      <w:pPr>
        <w:pStyle w:val="NoSpacing"/>
        <w:spacing w:after="0" w:line="240" w:lineRule="auto"/>
        <w:ind w:firstLine="720"/>
        <w:rPr>
          <w:rFonts w:ascii="Arial" w:hAnsi="Arial" w:cs="Arial"/>
          <w:b/>
          <w:sz w:val="24"/>
          <w:szCs w:val="24"/>
        </w:rPr>
      </w:pPr>
      <w:r w:rsidRPr="004024BD">
        <w:rPr>
          <w:rFonts w:ascii="Arial" w:hAnsi="Arial" w:cs="Arial"/>
          <w:sz w:val="24"/>
          <w:szCs w:val="24"/>
        </w:rPr>
        <w:t xml:space="preserve"> </w:t>
      </w:r>
    </w:p>
    <w:p w14:paraId="3C3379A0" w14:textId="77777777" w:rsidR="00EB07AB" w:rsidRPr="004024BD" w:rsidRDefault="00EB07AB" w:rsidP="00EB07AB">
      <w:pPr>
        <w:pStyle w:val="NoSpacing"/>
        <w:spacing w:after="0" w:line="240" w:lineRule="auto"/>
        <w:rPr>
          <w:rFonts w:ascii="Arial" w:hAnsi="Arial" w:cs="Arial"/>
          <w:b/>
          <w:sz w:val="24"/>
          <w:szCs w:val="24"/>
        </w:rPr>
      </w:pPr>
      <w:r w:rsidRPr="004024BD">
        <w:rPr>
          <w:rFonts w:ascii="Arial" w:hAnsi="Arial" w:cs="Arial"/>
          <w:b/>
          <w:sz w:val="24"/>
          <w:szCs w:val="24"/>
        </w:rPr>
        <w:tab/>
        <w:t>3.3.“МИАТ” ХК-ийн Боинг нисэх онгоц худалдан авсан зээл болон өрийн бичиг</w:t>
      </w:r>
    </w:p>
    <w:p w14:paraId="1DCDBDCD" w14:textId="77777777" w:rsidR="00EB07AB" w:rsidRPr="004024BD" w:rsidRDefault="00EB07AB" w:rsidP="00EB07AB">
      <w:pPr>
        <w:pStyle w:val="NoSpacing"/>
        <w:spacing w:after="0" w:line="240" w:lineRule="auto"/>
        <w:ind w:firstLine="720"/>
        <w:rPr>
          <w:rFonts w:ascii="Arial" w:hAnsi="Arial" w:cs="Arial"/>
          <w:b/>
          <w:sz w:val="24"/>
          <w:szCs w:val="24"/>
        </w:rPr>
      </w:pPr>
    </w:p>
    <w:p w14:paraId="78F730AB"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 xml:space="preserve">Засгийн газрын 2013 оны 319 дүгээр тогтоолын дагуу “МИАТ” ХК-ийн Боинг 767-300 ER агаарын хөлгийг худалдаж авахад зориулсан нийт 121.4 сая ам.долларын зээлд Монгол Улсын Засгийн газар өрийн баталгаа гаргасан бөгөөд дараах гурван дэд зээллэгт хуваагдсан. Үүнд: </w:t>
      </w:r>
    </w:p>
    <w:p w14:paraId="3E131019" w14:textId="77777777" w:rsidR="00EB07AB" w:rsidRPr="004024BD" w:rsidRDefault="00EB07AB" w:rsidP="00EB07AB">
      <w:pPr>
        <w:pStyle w:val="NoSpacing"/>
        <w:spacing w:after="0" w:line="240" w:lineRule="auto"/>
        <w:rPr>
          <w:rFonts w:ascii="Arial" w:hAnsi="Arial" w:cs="Arial"/>
          <w:sz w:val="24"/>
          <w:szCs w:val="24"/>
        </w:rPr>
      </w:pPr>
    </w:p>
    <w:p w14:paraId="7C5D7235" w14:textId="77777777" w:rsidR="00EB07AB" w:rsidRPr="004024BD" w:rsidRDefault="00EB07AB" w:rsidP="00EB07AB">
      <w:pPr>
        <w:pStyle w:val="NoSpacing"/>
        <w:numPr>
          <w:ilvl w:val="0"/>
          <w:numId w:val="7"/>
        </w:numPr>
        <w:spacing w:after="0" w:line="240" w:lineRule="auto"/>
        <w:rPr>
          <w:rFonts w:ascii="Arial" w:hAnsi="Arial" w:cs="Arial"/>
          <w:sz w:val="24"/>
          <w:szCs w:val="24"/>
        </w:rPr>
      </w:pPr>
      <w:r w:rsidRPr="004024BD">
        <w:rPr>
          <w:rFonts w:ascii="Arial" w:hAnsi="Arial" w:cs="Arial"/>
          <w:sz w:val="24"/>
          <w:szCs w:val="24"/>
        </w:rPr>
        <w:t>Америкийн Нэгдсэн Улс /АНУ/-ын Экспорт-Импорт банканд 77.4 сая ам.долларын, жилийн тогтмол  2.52 хувийн хүүтэй, 10 жилийн хугацаатай зээл;</w:t>
      </w:r>
    </w:p>
    <w:p w14:paraId="27F3675F" w14:textId="77777777" w:rsidR="00EB07AB" w:rsidRPr="004024BD" w:rsidRDefault="00EB07AB" w:rsidP="00EB07AB">
      <w:pPr>
        <w:pStyle w:val="NoSpacing"/>
        <w:numPr>
          <w:ilvl w:val="0"/>
          <w:numId w:val="7"/>
        </w:numPr>
        <w:spacing w:after="0" w:line="240" w:lineRule="auto"/>
        <w:rPr>
          <w:rFonts w:ascii="Arial" w:hAnsi="Arial" w:cs="Arial"/>
          <w:sz w:val="24"/>
          <w:szCs w:val="24"/>
        </w:rPr>
      </w:pPr>
      <w:r w:rsidRPr="004024BD">
        <w:rPr>
          <w:rFonts w:ascii="Arial" w:hAnsi="Arial" w:cs="Arial"/>
          <w:sz w:val="24"/>
          <w:szCs w:val="24"/>
        </w:rPr>
        <w:t>АйЭнЖи капитал банканд 23.9 сая ам.долларын, хувьсах хүүтэй /5.3%+ам.долларын 3 сарын Libor/, 7 жилийн хугацаатай зээл;</w:t>
      </w:r>
    </w:p>
    <w:p w14:paraId="3FD174C3" w14:textId="77777777" w:rsidR="00EB07AB" w:rsidRPr="004024BD" w:rsidRDefault="00EB07AB" w:rsidP="00EB07AB">
      <w:pPr>
        <w:pStyle w:val="NoSpacing"/>
        <w:numPr>
          <w:ilvl w:val="0"/>
          <w:numId w:val="7"/>
        </w:numPr>
        <w:spacing w:after="0" w:line="240" w:lineRule="auto"/>
        <w:rPr>
          <w:rFonts w:ascii="Arial" w:hAnsi="Arial" w:cs="Arial"/>
          <w:sz w:val="24"/>
          <w:szCs w:val="24"/>
        </w:rPr>
      </w:pPr>
      <w:r w:rsidRPr="004024BD">
        <w:rPr>
          <w:rFonts w:ascii="Arial" w:hAnsi="Arial" w:cs="Arial"/>
          <w:sz w:val="24"/>
          <w:szCs w:val="24"/>
        </w:rPr>
        <w:t xml:space="preserve">АйЭнЖи банканд 5 жилийн хугацаатай 20.0 сая ам.долларын, хувьсах хүүтэй /9.38+ам.долларын 3 сарын Libor/ өрийн бичиг. </w:t>
      </w:r>
    </w:p>
    <w:p w14:paraId="61794118" w14:textId="77777777" w:rsidR="00EB07AB" w:rsidRPr="004024BD" w:rsidRDefault="00EB07AB" w:rsidP="00EB07AB">
      <w:pPr>
        <w:pStyle w:val="NoSpacing"/>
        <w:spacing w:after="0" w:line="240" w:lineRule="auto"/>
        <w:ind w:left="720"/>
        <w:rPr>
          <w:rFonts w:ascii="Arial" w:hAnsi="Arial" w:cs="Arial"/>
          <w:sz w:val="24"/>
          <w:szCs w:val="24"/>
        </w:rPr>
      </w:pPr>
    </w:p>
    <w:p w14:paraId="03C310E9" w14:textId="77777777" w:rsidR="00EB07AB" w:rsidRPr="004024BD" w:rsidRDefault="00EB07AB" w:rsidP="00EB07AB">
      <w:pPr>
        <w:pStyle w:val="NoSpacing"/>
        <w:spacing w:after="0" w:line="240" w:lineRule="auto"/>
        <w:ind w:firstLine="720"/>
        <w:rPr>
          <w:rFonts w:ascii="Arial" w:hAnsi="Arial" w:cs="Arial"/>
          <w:sz w:val="24"/>
          <w:szCs w:val="24"/>
        </w:rPr>
      </w:pPr>
      <w:r w:rsidRPr="004024BD">
        <w:rPr>
          <w:rFonts w:ascii="Arial" w:hAnsi="Arial" w:cs="Arial"/>
          <w:sz w:val="24"/>
          <w:szCs w:val="24"/>
        </w:rPr>
        <w:t>“МИАТ” ХК дээрх баталгаат зээллэгүүдийн төлбөрийг хуваарийн дагуу амжилттай төлж барагдуулж байгаа бөгөөд 2021 онд 8.5 сая ам.долларын зээлийн үндсэн болон хүүгийн төлбөрийг төлж барагдуулснаар Засгийн газрын өрийн баталгааны үлдэгдэл 2021 оны жилийн эцсийн байдлаар 10.1 сая ам.доллар байна.</w:t>
      </w:r>
    </w:p>
    <w:p w14:paraId="6D6C704A" w14:textId="77777777" w:rsidR="00EB07AB" w:rsidRPr="004024BD" w:rsidRDefault="00EB07AB" w:rsidP="00EB07AB">
      <w:pPr>
        <w:pStyle w:val="NoSpacing"/>
        <w:spacing w:after="0" w:line="240" w:lineRule="auto"/>
        <w:ind w:firstLine="720"/>
        <w:rPr>
          <w:rFonts w:ascii="Arial" w:hAnsi="Arial" w:cs="Arial"/>
          <w:sz w:val="24"/>
          <w:szCs w:val="24"/>
        </w:rPr>
      </w:pPr>
    </w:p>
    <w:p w14:paraId="741CC92E" w14:textId="77777777" w:rsidR="00EB07AB" w:rsidRPr="004024BD" w:rsidRDefault="00EB07AB" w:rsidP="00EB07AB">
      <w:pPr>
        <w:pStyle w:val="NoSpacing"/>
        <w:spacing w:after="0" w:line="240" w:lineRule="auto"/>
        <w:rPr>
          <w:rFonts w:ascii="Arial" w:hAnsi="Arial" w:cs="Arial"/>
          <w:b/>
          <w:sz w:val="24"/>
          <w:szCs w:val="24"/>
        </w:rPr>
      </w:pPr>
      <w:r w:rsidRPr="004024BD">
        <w:rPr>
          <w:rFonts w:ascii="Arial" w:hAnsi="Arial" w:cs="Arial"/>
          <w:b/>
          <w:sz w:val="24"/>
          <w:szCs w:val="24"/>
        </w:rPr>
        <w:tab/>
        <w:t>3.4.“Эрдэнэс Монгол” ХХК-ийн үйл ажиллагааны эрсдэлийн болон санхүүгийн нэгдсэн удирдлагын тогтолцоог бэхжүүлэх зорилгоор Азийн хөгжлийн банкнаас авсан 35.0 сая ам.долларын зээл</w:t>
      </w:r>
    </w:p>
    <w:p w14:paraId="0F5EE51F" w14:textId="77777777" w:rsidR="00EB07AB" w:rsidRPr="004024BD" w:rsidRDefault="00EB07AB" w:rsidP="00EB07AB">
      <w:pPr>
        <w:pStyle w:val="NoSpacing"/>
        <w:spacing w:after="0" w:line="240" w:lineRule="auto"/>
        <w:rPr>
          <w:rFonts w:ascii="Arial" w:hAnsi="Arial" w:cs="Arial"/>
          <w:b/>
          <w:sz w:val="24"/>
          <w:szCs w:val="24"/>
        </w:rPr>
      </w:pPr>
    </w:p>
    <w:p w14:paraId="46889008"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Засгийн газрын 2016 оны 138 дугаар тогтоолоор “Эрдэнэс Монгол” ХХК-ийн үйл ажиллагааны эрсдэлийн болон санхүүгийн нэгдсэн удирдлагын тогтолцоог бэхжүүлэх зорилгоор хэрэгжүүлэх нийт 42.0 сая ам.долларын санхүүжилттэй төслийн зээлийн 85 хувьд буюу Азийн хөгжлийн банкнаас авах 35.0 сая ам.долларын, 15 жилийн хугацаатай, 3 жилийн үндсэн төлбөрөөс чөлөөлөгдөх хугацаатай хувьсах хүүтэй /Spread+ам.долларын 6 сарын Libor/ зээлд Засгийн газрын өрийн баталгаа гаргасан. Энэхүү зээлийн хүрээнд “Эрдэнэс Монгол” ХХК 2021 оны жилийн эцсийн байдлаар 9.4 сая ам.доллар буюу 19.7 тэрбум төгрөгийн санхүүжилтийг Азийн Хөгжлийн банкнаас авсан байна.</w:t>
      </w:r>
    </w:p>
    <w:p w14:paraId="000A5E79" w14:textId="77777777" w:rsidR="00EB07AB" w:rsidRPr="004024BD" w:rsidRDefault="00EB07AB" w:rsidP="00EB07AB">
      <w:pPr>
        <w:pStyle w:val="NoSpacing"/>
        <w:spacing w:after="0" w:line="240" w:lineRule="auto"/>
        <w:rPr>
          <w:rFonts w:ascii="Arial" w:hAnsi="Arial" w:cs="Arial"/>
          <w:sz w:val="24"/>
          <w:szCs w:val="24"/>
        </w:rPr>
      </w:pPr>
    </w:p>
    <w:p w14:paraId="28D6FA16" w14:textId="77777777" w:rsidR="00EB07AB" w:rsidRPr="004024BD" w:rsidRDefault="00EB07AB" w:rsidP="00EB07AB">
      <w:pPr>
        <w:pStyle w:val="Heading1"/>
        <w:jc w:val="center"/>
      </w:pPr>
      <w:r w:rsidRPr="004024BD">
        <w:t xml:space="preserve">4.ЗАСГИЙН ГАЗРЫН ӨРИЙН ШАЛГУУР ҮЗҮҮЛЭЛТИЙН ДУНД </w:t>
      </w:r>
    </w:p>
    <w:p w14:paraId="5A44E553" w14:textId="77777777" w:rsidR="00EB07AB" w:rsidRPr="004024BD" w:rsidRDefault="00EB07AB" w:rsidP="00EB07AB">
      <w:pPr>
        <w:pStyle w:val="Heading1"/>
        <w:jc w:val="center"/>
      </w:pPr>
      <w:r w:rsidRPr="004024BD">
        <w:t>ХУГАЦААНЫ ТӨСӨӨЛӨЛ БА НӨЛӨӨЛӨХ ХҮЧИН ЗҮЙЛС</w:t>
      </w:r>
    </w:p>
    <w:p w14:paraId="201E85A2" w14:textId="77777777" w:rsidR="00EB07AB" w:rsidRPr="004024BD" w:rsidRDefault="00EB07AB" w:rsidP="00EB07AB">
      <w:pPr>
        <w:spacing w:after="0" w:line="240" w:lineRule="auto"/>
        <w:ind w:right="-2" w:firstLine="720"/>
        <w:jc w:val="both"/>
        <w:textAlignment w:val="baseline"/>
        <w:rPr>
          <w:rFonts w:ascii="Arial" w:hAnsi="Arial" w:cs="Arial"/>
          <w:color w:val="000000" w:themeColor="text1"/>
          <w:sz w:val="24"/>
          <w:szCs w:val="24"/>
          <w:lang w:val="mn-MN"/>
        </w:rPr>
      </w:pPr>
    </w:p>
    <w:p w14:paraId="4DF96195" w14:textId="77777777" w:rsidR="00EB07AB" w:rsidRPr="004024BD" w:rsidRDefault="00EB07AB" w:rsidP="00EB07AB">
      <w:pPr>
        <w:spacing w:after="0" w:line="240" w:lineRule="auto"/>
        <w:ind w:right="-2" w:firstLine="720"/>
        <w:jc w:val="both"/>
        <w:textAlignment w:val="baseline"/>
        <w:rPr>
          <w:rFonts w:ascii="Arial" w:hAnsi="Arial" w:cs="Arial"/>
          <w:color w:val="000000" w:themeColor="text1"/>
          <w:sz w:val="24"/>
          <w:szCs w:val="24"/>
          <w:lang w:val="mn-MN"/>
        </w:rPr>
      </w:pPr>
      <w:r w:rsidRPr="004024BD">
        <w:rPr>
          <w:rFonts w:ascii="Arial" w:hAnsi="Arial" w:cs="Arial"/>
          <w:color w:val="000000" w:themeColor="text1"/>
          <w:sz w:val="24"/>
          <w:szCs w:val="24"/>
          <w:lang w:val="mn-MN"/>
        </w:rPr>
        <w:t xml:space="preserve">Өрийн тогтвортой байдлын шинжилгээнд аливаа улсын Засгийн газрын өрийн үлдэгдлийн ДНБ-д эзлэх хувь хэмжээ /нэрлэсэн дүнгээр/ 50 хувиас давсан тохиолдолд тухайн улсыг “Сайтар шинжлэх” шаардлагатай орны ангилалд багтаан илүү нарийвчилсан шинжилгээг хийдэг. Монгол Улсын Засгийн газрын өрийн үлдэгдлийн </w:t>
      </w:r>
      <w:r w:rsidRPr="004024BD">
        <w:rPr>
          <w:rFonts w:ascii="Arial" w:hAnsi="Arial" w:cs="Arial"/>
          <w:color w:val="000000" w:themeColor="text1"/>
          <w:sz w:val="24"/>
          <w:szCs w:val="24"/>
          <w:lang w:val="mn-MN"/>
        </w:rPr>
        <w:lastRenderedPageBreak/>
        <w:t>ДНБ-д эзлэх хувь хэмжээ 2020 онд 75.5 хувь байгаа бөгөөд 2023 он хүртэл Засгийн газрын өрийн баталгаа гаргаагүй тохиолдолд тус харьцаа хэвээр байх тул “Сайтар шинжлэх” шаардлагатай орны ангилалд орж байна.  </w:t>
      </w:r>
    </w:p>
    <w:p w14:paraId="732160C6" w14:textId="77777777" w:rsidR="00EB07AB" w:rsidRPr="004024BD" w:rsidRDefault="00EB07AB" w:rsidP="00EB07AB">
      <w:pPr>
        <w:spacing w:after="0" w:line="240" w:lineRule="auto"/>
        <w:ind w:right="-2" w:firstLine="720"/>
        <w:jc w:val="both"/>
        <w:textAlignment w:val="baseline"/>
        <w:rPr>
          <w:rFonts w:ascii="Arial" w:hAnsi="Arial" w:cs="Arial"/>
          <w:color w:val="000000" w:themeColor="text1"/>
          <w:sz w:val="24"/>
          <w:szCs w:val="24"/>
          <w:lang w:val="mn-MN"/>
        </w:rPr>
      </w:pPr>
    </w:p>
    <w:p w14:paraId="628A8F5A" w14:textId="77777777" w:rsidR="00EB07AB" w:rsidRPr="004024BD" w:rsidRDefault="00EB07AB" w:rsidP="00EB07AB">
      <w:pPr>
        <w:spacing w:after="0" w:line="240" w:lineRule="auto"/>
        <w:ind w:right="-2" w:firstLine="720"/>
        <w:jc w:val="both"/>
        <w:textAlignment w:val="baseline"/>
        <w:rPr>
          <w:rFonts w:ascii="Arial" w:hAnsi="Arial" w:cs="Arial"/>
          <w:color w:val="000000" w:themeColor="text1"/>
          <w:sz w:val="24"/>
          <w:szCs w:val="24"/>
          <w:lang w:val="mn-MN"/>
        </w:rPr>
      </w:pPr>
      <w:r w:rsidRPr="004024BD">
        <w:rPr>
          <w:rFonts w:ascii="Arial" w:hAnsi="Arial" w:cs="Arial"/>
          <w:color w:val="000000" w:themeColor="text1"/>
          <w:sz w:val="24"/>
          <w:szCs w:val="24"/>
          <w:lang w:val="mn-MN"/>
        </w:rPr>
        <w:t xml:space="preserve">Сүүлийн 10 жил болон ирэх 3 жилийн Засгийн газрын өрийн үлдэгдэл, ДНБ-ний харьцаа хэрхэн өсөж, буурахаар байгааг график 7-д харууллаа. Засгийн газрын өрийн хэмжээ 2012-2016 онд ихээхэн хэмжээгээр өссөн байна. Үүнд Засгийн газар өрийн баталгаа гаргаж эхэлсэн, төсөв алдагдалтай батлагдсан, валютын ханш суларч байсан зэрэг үзүүлэлтүүд ихээхэн нөлөө үзүүлжээ. Харин Засгийн газрын өрийн үлдэгдэл, ДНБ-ний харьцаа 2017-2019 онуудад буурсан нь ДНБ-ний өсөлт болон бодит хүүгийн түвшин буурсан зэргээс хамаарсан байна. Цаашид ч бодит ДНБ-ний өсөлтийг дэмжиж, төсвийн үндсэн тэнцлийг бууруулах нь өрийн тогтвортой байдлыг хангах суурь үндэс болохоор байна. Түүнчлэн тус онуудад төгрөгийн бусад валюттай харьцах ханш суларч, төсвийн алдагдлаас шалтгаалан </w:t>
      </w:r>
      <w:r w:rsidRPr="004024BD">
        <w:rPr>
          <w:rFonts w:ascii="Arial" w:hAnsi="Arial" w:cs="Arial"/>
          <w:sz w:val="24"/>
          <w:szCs w:val="24"/>
          <w:lang w:val="mn-MN"/>
        </w:rPr>
        <w:t>уг харьцаа</w:t>
      </w:r>
      <w:r w:rsidRPr="004024BD">
        <w:rPr>
          <w:rFonts w:ascii="Arial" w:hAnsi="Arial" w:cs="Arial"/>
          <w:color w:val="000000" w:themeColor="text1"/>
          <w:sz w:val="24"/>
          <w:szCs w:val="24"/>
          <w:lang w:val="mn-MN"/>
        </w:rPr>
        <w:t xml:space="preserve"> өсөхөөр байгаа бол бодит ДНБ-ний өсөлт болон бодит хүүгийн түвшнээс шалтгаалан тус харьцааны өсөлт саарахаар байна.</w:t>
      </w:r>
    </w:p>
    <w:p w14:paraId="78AA609C" w14:textId="77777777" w:rsidR="00EB07AB" w:rsidRPr="004024BD" w:rsidRDefault="00EB07AB" w:rsidP="00EB07AB">
      <w:pPr>
        <w:spacing w:after="0" w:line="240" w:lineRule="auto"/>
        <w:ind w:right="-2" w:firstLine="720"/>
        <w:jc w:val="both"/>
        <w:textAlignment w:val="baseline"/>
        <w:rPr>
          <w:rFonts w:ascii="Arial" w:hAnsi="Arial" w:cs="Arial"/>
          <w:color w:val="000000" w:themeColor="text1"/>
          <w:sz w:val="24"/>
          <w:szCs w:val="24"/>
          <w:lang w:val="mn-MN"/>
        </w:rPr>
      </w:pPr>
    </w:p>
    <w:p w14:paraId="3B49369C" w14:textId="77777777" w:rsidR="00EB07AB" w:rsidRPr="004024BD" w:rsidRDefault="00EB07AB" w:rsidP="00EB07AB">
      <w:pPr>
        <w:spacing w:after="0" w:line="240" w:lineRule="auto"/>
        <w:jc w:val="both"/>
        <w:rPr>
          <w:rFonts w:ascii="Arial" w:hAnsi="Arial" w:cs="Arial"/>
          <w:noProof/>
          <w:lang w:val="mn-MN"/>
        </w:rPr>
      </w:pPr>
      <w:r w:rsidRPr="004024BD">
        <w:rPr>
          <w:rFonts w:ascii="Arial" w:hAnsi="Arial" w:cs="Arial"/>
          <w:i/>
          <w:color w:val="000000" w:themeColor="text1"/>
          <w:lang w:val="mn-MN"/>
        </w:rPr>
        <w:t xml:space="preserve">     </w:t>
      </w:r>
      <w:r w:rsidRPr="004024BD">
        <w:rPr>
          <w:rFonts w:ascii="Arial" w:hAnsi="Arial" w:cs="Arial"/>
          <w:i/>
          <w:color w:val="000000" w:themeColor="text1"/>
          <w:lang w:val="mn-MN"/>
        </w:rPr>
        <w:tab/>
        <w:t>График №7: Засгийн газрын өрд нөлөөлөгч хүчин зүйлс</w:t>
      </w:r>
      <w:r w:rsidRPr="004024BD">
        <w:rPr>
          <w:rFonts w:ascii="Arial" w:hAnsi="Arial" w:cs="Arial"/>
          <w:noProof/>
          <w:lang w:val="mn-MN"/>
        </w:rPr>
        <w:t xml:space="preserve"> </w:t>
      </w:r>
    </w:p>
    <w:p w14:paraId="02C0D4EB" w14:textId="77777777" w:rsidR="00EB07AB" w:rsidRPr="004024BD" w:rsidRDefault="00EB07AB" w:rsidP="00EB07AB">
      <w:pPr>
        <w:spacing w:after="0"/>
        <w:ind w:left="5760" w:firstLine="720"/>
        <w:jc w:val="both"/>
        <w:rPr>
          <w:rFonts w:ascii="Arial" w:hAnsi="Arial" w:cs="Arial"/>
          <w:noProof/>
          <w:lang w:val="mn-MN"/>
        </w:rPr>
      </w:pPr>
      <w:r w:rsidRPr="004024BD">
        <w:rPr>
          <w:rFonts w:ascii="Arial" w:hAnsi="Arial" w:cs="Arial"/>
          <w:i/>
          <w:color w:val="000000" w:themeColor="text1"/>
          <w:lang w:val="mn-MN"/>
        </w:rPr>
        <w:t xml:space="preserve">       ДНБ-д эзлэх хувиар</w:t>
      </w:r>
    </w:p>
    <w:p w14:paraId="3AB4F178" w14:textId="77777777" w:rsidR="00EB07AB" w:rsidRPr="004024BD" w:rsidRDefault="00EB07AB" w:rsidP="00EB07AB">
      <w:pPr>
        <w:spacing w:after="0"/>
        <w:rPr>
          <w:rFonts w:ascii="Arial" w:hAnsi="Arial" w:cs="Arial"/>
          <w:noProof/>
          <w:lang w:val="mn-MN"/>
        </w:rPr>
      </w:pPr>
      <w:r w:rsidRPr="004024BD">
        <w:rPr>
          <w:noProof/>
          <w:lang w:val="mn-MN"/>
        </w:rPr>
        <w:drawing>
          <wp:inline distT="0" distB="0" distL="0" distR="0" wp14:anchorId="69CB8DFF" wp14:editId="4113675F">
            <wp:extent cx="6228080" cy="322027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52924" cy="3233124"/>
                    </a:xfrm>
                    <a:prstGeom prst="rect">
                      <a:avLst/>
                    </a:prstGeom>
                  </pic:spPr>
                </pic:pic>
              </a:graphicData>
            </a:graphic>
          </wp:inline>
        </w:drawing>
      </w:r>
    </w:p>
    <w:p w14:paraId="4AA067FB" w14:textId="77777777" w:rsidR="00EB07AB" w:rsidRPr="004024BD" w:rsidRDefault="00EB07AB" w:rsidP="00EB07AB">
      <w:pPr>
        <w:spacing w:after="0"/>
        <w:ind w:left="180" w:right="338" w:firstLine="540"/>
        <w:jc w:val="both"/>
        <w:textAlignment w:val="baseline"/>
        <w:rPr>
          <w:rFonts w:ascii="Arial" w:hAnsi="Arial" w:cs="Arial"/>
          <w:i/>
          <w:lang w:val="mn-MN"/>
        </w:rPr>
      </w:pPr>
      <w:r w:rsidRPr="004024BD">
        <w:rPr>
          <w:lang w:val="mn-MN"/>
        </w:rPr>
        <w:t xml:space="preserve">           </w:t>
      </w:r>
      <w:r w:rsidRPr="004024BD">
        <w:rPr>
          <w:lang w:val="mn-MN"/>
        </w:rPr>
        <w:tab/>
      </w:r>
      <w:r w:rsidRPr="004024BD">
        <w:rPr>
          <w:lang w:val="mn-MN"/>
        </w:rPr>
        <w:tab/>
      </w:r>
      <w:r w:rsidRPr="004024BD">
        <w:rPr>
          <w:lang w:val="mn-MN"/>
        </w:rPr>
        <w:tab/>
      </w:r>
      <w:r w:rsidRPr="004024BD">
        <w:rPr>
          <w:lang w:val="mn-MN"/>
        </w:rPr>
        <w:tab/>
      </w:r>
      <w:r w:rsidRPr="004024BD">
        <w:rPr>
          <w:lang w:val="mn-MN"/>
        </w:rPr>
        <w:tab/>
      </w:r>
      <w:r w:rsidRPr="004024BD">
        <w:rPr>
          <w:lang w:val="mn-MN"/>
        </w:rPr>
        <w:tab/>
      </w:r>
      <w:r w:rsidRPr="004024BD">
        <w:rPr>
          <w:lang w:val="mn-MN"/>
        </w:rPr>
        <w:tab/>
      </w:r>
      <w:r w:rsidRPr="004024BD">
        <w:rPr>
          <w:lang w:val="mn-MN"/>
        </w:rPr>
        <w:tab/>
        <w:t xml:space="preserve">   </w:t>
      </w:r>
      <w:r w:rsidRPr="004024BD">
        <w:rPr>
          <w:rFonts w:ascii="Arial" w:hAnsi="Arial" w:cs="Arial"/>
          <w:i/>
          <w:lang w:val="mn-MN"/>
        </w:rPr>
        <w:t>Эх сурвалж: Сангийн яам</w:t>
      </w:r>
    </w:p>
    <w:p w14:paraId="06C1DB6F" w14:textId="77777777" w:rsidR="00EB07AB" w:rsidRPr="004024BD" w:rsidRDefault="00EB07AB" w:rsidP="00EB07AB">
      <w:pPr>
        <w:spacing w:after="0"/>
        <w:ind w:left="180" w:right="338" w:firstLine="540"/>
        <w:jc w:val="both"/>
        <w:textAlignment w:val="baseline"/>
        <w:rPr>
          <w:rFonts w:ascii="Arial" w:hAnsi="Arial" w:cs="Arial"/>
          <w:color w:val="000000" w:themeColor="text1"/>
          <w:lang w:val="mn-MN"/>
        </w:rPr>
      </w:pPr>
    </w:p>
    <w:p w14:paraId="560BDD3B" w14:textId="77777777" w:rsidR="00EB07AB" w:rsidRPr="004024BD" w:rsidRDefault="00EB07AB" w:rsidP="00EB07AB">
      <w:pPr>
        <w:spacing w:after="0"/>
        <w:ind w:right="338"/>
        <w:jc w:val="both"/>
        <w:textAlignment w:val="baseline"/>
        <w:rPr>
          <w:rFonts w:ascii="Arial" w:hAnsi="Arial" w:cs="Arial"/>
          <w:color w:val="000000" w:themeColor="text1"/>
          <w:lang w:val="mn-MN"/>
        </w:rPr>
        <w:sectPr w:rsidR="00EB07AB" w:rsidRPr="004024BD" w:rsidSect="002A2F8C">
          <w:type w:val="continuous"/>
          <w:pgSz w:w="11906" w:h="16838" w:code="9"/>
          <w:pgMar w:top="1134" w:right="851" w:bottom="851" w:left="1247" w:header="720" w:footer="720" w:gutter="0"/>
          <w:pgNumType w:start="0"/>
          <w:cols w:space="720"/>
          <w:titlePg/>
          <w:docGrid w:linePitch="360"/>
        </w:sectPr>
      </w:pPr>
    </w:p>
    <w:p w14:paraId="20330B35" w14:textId="77777777" w:rsidR="00EB07AB" w:rsidRPr="004024BD" w:rsidRDefault="00EB07AB" w:rsidP="00EB07AB">
      <w:pPr>
        <w:pStyle w:val="Heading1"/>
        <w:jc w:val="center"/>
      </w:pPr>
      <w:r w:rsidRPr="004024BD">
        <w:t>5.ЗАСГИЙН ГАЗРЫН ӨРИЙН БАГЦ ДАХЬ</w:t>
      </w:r>
    </w:p>
    <w:p w14:paraId="6141C3DF" w14:textId="77777777" w:rsidR="00EB07AB" w:rsidRPr="004024BD" w:rsidRDefault="00EB07AB" w:rsidP="00EB07AB">
      <w:pPr>
        <w:pStyle w:val="Heading1"/>
        <w:jc w:val="center"/>
      </w:pPr>
      <w:r w:rsidRPr="004024BD">
        <w:t>ЗАРДАЛ, ЭРСДЭЛИЙН ШИНЖИЛГЭЭ</w:t>
      </w:r>
    </w:p>
    <w:p w14:paraId="33043720"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r>
    </w:p>
    <w:p w14:paraId="43C39CCB" w14:textId="77777777" w:rsidR="00EB07AB" w:rsidRPr="004024BD" w:rsidRDefault="00EB07AB" w:rsidP="00EB07AB">
      <w:pPr>
        <w:pStyle w:val="NoSpacing"/>
        <w:spacing w:after="0" w:line="240" w:lineRule="auto"/>
        <w:ind w:firstLine="720"/>
        <w:rPr>
          <w:rFonts w:ascii="Arial" w:hAnsi="Arial" w:cs="Arial"/>
          <w:sz w:val="24"/>
          <w:szCs w:val="24"/>
        </w:rPr>
      </w:pPr>
      <w:r w:rsidRPr="004024BD" w:rsidDel="001D280C">
        <w:rPr>
          <w:rFonts w:ascii="Arial" w:hAnsi="Arial" w:cs="Arial"/>
          <w:sz w:val="24"/>
          <w:szCs w:val="24"/>
        </w:rPr>
        <w:t>Зардал, эрсдэлийн шинжилгээний цар хүрээ нь өрийн удирдлагатай холбоотой бодлого, шийдвэрийг боловсруулах, хэрэгжүүлэх үйл ажиллагааны уялдаа холбоог</w:t>
      </w:r>
      <w:r w:rsidRPr="004024BD">
        <w:rPr>
          <w:rFonts w:ascii="Arial" w:hAnsi="Arial" w:cs="Arial"/>
          <w:sz w:val="24"/>
          <w:szCs w:val="24"/>
        </w:rPr>
        <w:t xml:space="preserve"> </w:t>
      </w:r>
      <w:r w:rsidRPr="004024BD" w:rsidDel="001D280C">
        <w:rPr>
          <w:rFonts w:ascii="Arial" w:hAnsi="Arial" w:cs="Arial"/>
          <w:sz w:val="24"/>
          <w:szCs w:val="24"/>
        </w:rPr>
        <w:t>тодотгон харуулдаг чухал</w:t>
      </w:r>
      <w:r w:rsidRPr="004024BD">
        <w:rPr>
          <w:rFonts w:ascii="Arial" w:hAnsi="Arial" w:cs="Arial"/>
          <w:sz w:val="24"/>
          <w:szCs w:val="24"/>
        </w:rPr>
        <w:t xml:space="preserve"> </w:t>
      </w:r>
      <w:r w:rsidRPr="004024BD" w:rsidDel="001D280C">
        <w:rPr>
          <w:rFonts w:ascii="Arial" w:hAnsi="Arial" w:cs="Arial"/>
          <w:sz w:val="24"/>
          <w:szCs w:val="24"/>
        </w:rPr>
        <w:t>ач холбогдолтой</w:t>
      </w:r>
      <w:r w:rsidRPr="004024BD">
        <w:rPr>
          <w:rFonts w:ascii="Arial" w:hAnsi="Arial" w:cs="Arial"/>
          <w:sz w:val="24"/>
          <w:szCs w:val="24"/>
        </w:rPr>
        <w:t xml:space="preserve"> юм</w:t>
      </w:r>
      <w:r w:rsidRPr="004024BD" w:rsidDel="001D280C">
        <w:rPr>
          <w:rFonts w:ascii="Arial" w:hAnsi="Arial" w:cs="Arial"/>
          <w:sz w:val="24"/>
          <w:szCs w:val="24"/>
        </w:rPr>
        <w:t>.</w:t>
      </w:r>
      <w:r w:rsidRPr="004024BD">
        <w:rPr>
          <w:rFonts w:ascii="Arial" w:hAnsi="Arial" w:cs="Arial"/>
          <w:sz w:val="24"/>
          <w:szCs w:val="24"/>
        </w:rPr>
        <w:t xml:space="preserve"> </w:t>
      </w:r>
      <w:r w:rsidRPr="004024BD" w:rsidDel="001D280C">
        <w:rPr>
          <w:rFonts w:ascii="Arial" w:hAnsi="Arial" w:cs="Arial"/>
          <w:sz w:val="24"/>
          <w:szCs w:val="24"/>
        </w:rPr>
        <w:t>Засгийн газрын өрийн багцыг удирдахдаа</w:t>
      </w:r>
      <w:r w:rsidRPr="004024BD">
        <w:rPr>
          <w:rFonts w:ascii="Arial" w:hAnsi="Arial" w:cs="Arial"/>
          <w:sz w:val="24"/>
          <w:szCs w:val="24"/>
        </w:rPr>
        <w:t xml:space="preserve"> </w:t>
      </w:r>
      <w:r w:rsidRPr="004024BD" w:rsidDel="001D280C">
        <w:rPr>
          <w:rFonts w:ascii="Arial" w:hAnsi="Arial" w:cs="Arial"/>
          <w:sz w:val="24"/>
          <w:szCs w:val="24"/>
        </w:rPr>
        <w:t>зардал</w:t>
      </w:r>
      <w:r w:rsidRPr="004024BD">
        <w:rPr>
          <w:rFonts w:ascii="Arial" w:hAnsi="Arial" w:cs="Arial"/>
          <w:sz w:val="24"/>
          <w:szCs w:val="24"/>
        </w:rPr>
        <w:t>,</w:t>
      </w:r>
      <w:r w:rsidRPr="004024BD" w:rsidDel="001D280C">
        <w:rPr>
          <w:rFonts w:ascii="Arial" w:hAnsi="Arial" w:cs="Arial"/>
          <w:sz w:val="24"/>
          <w:szCs w:val="24"/>
        </w:rPr>
        <w:t xml:space="preserve"> эрсдэлийн шалгуурт</w:t>
      </w:r>
      <w:r w:rsidRPr="004024BD">
        <w:rPr>
          <w:rFonts w:ascii="Arial" w:hAnsi="Arial" w:cs="Arial"/>
          <w:sz w:val="24"/>
          <w:szCs w:val="24"/>
        </w:rPr>
        <w:t xml:space="preserve"> </w:t>
      </w:r>
      <w:r w:rsidRPr="004024BD" w:rsidDel="001D280C">
        <w:rPr>
          <w:rFonts w:ascii="Arial" w:hAnsi="Arial" w:cs="Arial"/>
          <w:sz w:val="24"/>
          <w:szCs w:val="24"/>
        </w:rPr>
        <w:t>үндэслэн багцын зохистой харьцааг тогтоосноор</w:t>
      </w:r>
      <w:r w:rsidRPr="004024BD">
        <w:rPr>
          <w:rFonts w:ascii="Arial" w:hAnsi="Arial" w:cs="Arial"/>
          <w:sz w:val="24"/>
          <w:szCs w:val="24"/>
        </w:rPr>
        <w:t xml:space="preserve"> гадаад орчны нөлөөллийн </w:t>
      </w:r>
      <w:r w:rsidRPr="004024BD" w:rsidDel="001D280C">
        <w:rPr>
          <w:rFonts w:ascii="Arial" w:hAnsi="Arial" w:cs="Arial"/>
          <w:sz w:val="24"/>
          <w:szCs w:val="24"/>
        </w:rPr>
        <w:t>эдийн зас</w:t>
      </w:r>
      <w:r w:rsidRPr="004024BD">
        <w:rPr>
          <w:rFonts w:ascii="Arial" w:hAnsi="Arial" w:cs="Arial"/>
          <w:sz w:val="24"/>
          <w:szCs w:val="24"/>
        </w:rPr>
        <w:t xml:space="preserve">агт үүсэх сөрөг нөлөөллөөс </w:t>
      </w:r>
      <w:r w:rsidRPr="004024BD" w:rsidDel="001D280C">
        <w:rPr>
          <w:rFonts w:ascii="Arial" w:hAnsi="Arial" w:cs="Arial"/>
          <w:sz w:val="24"/>
          <w:szCs w:val="24"/>
        </w:rPr>
        <w:t>сэргийлэх боломжтой юм.</w:t>
      </w:r>
    </w:p>
    <w:p w14:paraId="4262ED3D" w14:textId="77777777" w:rsidR="00EB07AB" w:rsidRPr="004024BD" w:rsidRDefault="00EB07AB" w:rsidP="00EB07AB">
      <w:pPr>
        <w:pStyle w:val="NoSpacing"/>
        <w:spacing w:after="0" w:line="240" w:lineRule="auto"/>
        <w:ind w:firstLine="720"/>
        <w:rPr>
          <w:rFonts w:ascii="Arial" w:hAnsi="Arial" w:cs="Arial"/>
          <w:sz w:val="24"/>
          <w:szCs w:val="24"/>
        </w:rPr>
      </w:pPr>
    </w:p>
    <w:p w14:paraId="683420AA"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Засгийн газрын зардал, эрсдэлийн үзүүлэлтүүд 2021 оны жилийн эцсийн байдлаар дараах байдалтай байна:</w:t>
      </w:r>
    </w:p>
    <w:p w14:paraId="32D5FBFD" w14:textId="77777777" w:rsidR="00EB07AB" w:rsidRPr="004024BD" w:rsidRDefault="00EB07AB" w:rsidP="00EB07AB">
      <w:pPr>
        <w:pStyle w:val="Caption"/>
        <w:keepNext/>
        <w:spacing w:after="0"/>
        <w:rPr>
          <w:rFonts w:ascii="Arial" w:hAnsi="Arial" w:cs="Arial"/>
          <w:color w:val="auto"/>
          <w:sz w:val="20"/>
          <w:szCs w:val="20"/>
          <w:lang w:val="mn-MN"/>
        </w:rPr>
      </w:pPr>
      <w:r w:rsidRPr="004024BD">
        <w:rPr>
          <w:rFonts w:ascii="Arial" w:hAnsi="Arial" w:cs="Arial"/>
          <w:color w:val="auto"/>
          <w:sz w:val="22"/>
          <w:szCs w:val="22"/>
          <w:lang w:val="mn-MN"/>
        </w:rPr>
        <w:lastRenderedPageBreak/>
        <w:t xml:space="preserve">      </w:t>
      </w:r>
      <w:r w:rsidRPr="004024BD">
        <w:rPr>
          <w:rFonts w:ascii="Arial" w:hAnsi="Arial" w:cs="Arial"/>
          <w:color w:val="auto"/>
          <w:sz w:val="22"/>
          <w:szCs w:val="22"/>
          <w:lang w:val="mn-MN"/>
        </w:rPr>
        <w:tab/>
      </w:r>
      <w:r w:rsidRPr="004024BD">
        <w:rPr>
          <w:rFonts w:ascii="Arial" w:hAnsi="Arial" w:cs="Arial"/>
          <w:color w:val="auto"/>
          <w:sz w:val="20"/>
          <w:szCs w:val="20"/>
          <w:lang w:val="mn-MN"/>
        </w:rPr>
        <w:t xml:space="preserve">Хүснэгт №9: </w:t>
      </w:r>
      <w:r w:rsidRPr="004024BD">
        <w:rPr>
          <w:rFonts w:ascii="Arial" w:hAnsi="Arial" w:cs="Arial"/>
          <w:color w:val="000000" w:themeColor="text1"/>
          <w:sz w:val="20"/>
          <w:szCs w:val="20"/>
          <w:lang w:val="mn-MN"/>
        </w:rPr>
        <w:t>Засгийн газрын өрийн зардал</w:t>
      </w:r>
      <w:r w:rsidRPr="004024BD">
        <w:rPr>
          <w:rFonts w:ascii="Arial" w:hAnsi="Arial" w:cs="Arial"/>
          <w:color w:val="auto"/>
          <w:sz w:val="20"/>
          <w:szCs w:val="20"/>
          <w:lang w:val="mn-MN"/>
        </w:rPr>
        <w:t>, эрсдэлийн үзүүлэлтүүд, 2021.12.31</w:t>
      </w:r>
      <w:r w:rsidRPr="004024BD">
        <w:rPr>
          <w:rFonts w:ascii="Arial" w:hAnsi="Arial" w:cs="Arial"/>
          <w:i w:val="0"/>
          <w:color w:val="auto"/>
          <w:sz w:val="20"/>
          <w:szCs w:val="20"/>
          <w:lang w:val="mn-MN"/>
        </w:rPr>
        <w:t>-</w:t>
      </w:r>
      <w:r w:rsidRPr="004024BD">
        <w:rPr>
          <w:rFonts w:ascii="Arial" w:hAnsi="Arial" w:cs="Arial"/>
          <w:color w:val="auto"/>
          <w:sz w:val="20"/>
          <w:szCs w:val="20"/>
          <w:lang w:val="mn-MN"/>
        </w:rPr>
        <w:t>ний байдлаар</w:t>
      </w:r>
    </w:p>
    <w:tbl>
      <w:tblPr>
        <w:tblW w:w="9228" w:type="dxa"/>
        <w:tblInd w:w="357" w:type="dxa"/>
        <w:tbl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insideH w:val="single" w:sz="2" w:space="0" w:color="B4C6E7" w:themeColor="accent1" w:themeTint="66"/>
          <w:insideV w:val="single" w:sz="2" w:space="0" w:color="B4C6E7" w:themeColor="accent1" w:themeTint="66"/>
        </w:tblBorders>
        <w:tblLook w:val="04A0" w:firstRow="1" w:lastRow="0" w:firstColumn="1" w:lastColumn="0" w:noHBand="0" w:noVBand="1"/>
      </w:tblPr>
      <w:tblGrid>
        <w:gridCol w:w="1913"/>
        <w:gridCol w:w="3395"/>
        <w:gridCol w:w="1025"/>
        <w:gridCol w:w="1538"/>
        <w:gridCol w:w="1357"/>
      </w:tblGrid>
      <w:tr w:rsidR="00EB07AB" w:rsidRPr="004024BD" w14:paraId="240E1B2C" w14:textId="77777777" w:rsidTr="00FD3D1D">
        <w:trPr>
          <w:trHeight w:val="3"/>
        </w:trPr>
        <w:tc>
          <w:tcPr>
            <w:tcW w:w="5308" w:type="dxa"/>
            <w:gridSpan w:val="2"/>
            <w:tcBorders>
              <w:top w:val="single" w:sz="4" w:space="0" w:color="auto"/>
              <w:left w:val="single" w:sz="4" w:space="0" w:color="auto"/>
              <w:bottom w:val="single" w:sz="4" w:space="0" w:color="auto"/>
              <w:right w:val="single" w:sz="4" w:space="0" w:color="auto"/>
            </w:tcBorders>
            <w:shd w:val="clear" w:color="000000" w:fill="1F3864"/>
            <w:noWrap/>
            <w:vAlign w:val="center"/>
            <w:hideMark/>
          </w:tcPr>
          <w:p w14:paraId="5630F7C5" w14:textId="77777777" w:rsidR="00EB07AB" w:rsidRPr="004024BD" w:rsidRDefault="00EB07AB" w:rsidP="00FD3D1D">
            <w:pPr>
              <w:spacing w:after="0" w:line="240" w:lineRule="auto"/>
              <w:jc w:val="center"/>
              <w:rPr>
                <w:rFonts w:ascii="Arial" w:eastAsia="Times New Roman" w:hAnsi="Arial" w:cs="Arial"/>
                <w:b/>
                <w:color w:val="FFFFFF"/>
                <w:sz w:val="20"/>
                <w:szCs w:val="20"/>
                <w:lang w:val="mn-MN"/>
              </w:rPr>
            </w:pPr>
            <w:r w:rsidRPr="004024BD">
              <w:rPr>
                <w:rFonts w:ascii="Arial" w:eastAsia="Times New Roman" w:hAnsi="Arial" w:cs="Arial"/>
                <w:b/>
                <w:color w:val="FFFFFF"/>
                <w:sz w:val="20"/>
                <w:szCs w:val="20"/>
                <w:lang w:val="mn-MN"/>
              </w:rPr>
              <w:t>Эрсдэлийн үзүүлэлт</w:t>
            </w:r>
          </w:p>
        </w:tc>
        <w:tc>
          <w:tcPr>
            <w:tcW w:w="1025" w:type="dxa"/>
            <w:tcBorders>
              <w:top w:val="single" w:sz="4" w:space="0" w:color="auto"/>
              <w:left w:val="single" w:sz="4" w:space="0" w:color="auto"/>
              <w:bottom w:val="single" w:sz="4" w:space="0" w:color="auto"/>
              <w:right w:val="single" w:sz="4" w:space="0" w:color="auto"/>
            </w:tcBorders>
            <w:shd w:val="clear" w:color="000000" w:fill="1F3864"/>
            <w:noWrap/>
            <w:vAlign w:val="center"/>
            <w:hideMark/>
          </w:tcPr>
          <w:p w14:paraId="2F9E18C2" w14:textId="77777777" w:rsidR="00EB07AB" w:rsidRPr="004024BD" w:rsidRDefault="00EB07AB" w:rsidP="00FD3D1D">
            <w:pPr>
              <w:spacing w:after="0" w:line="240" w:lineRule="auto"/>
              <w:jc w:val="center"/>
              <w:rPr>
                <w:rFonts w:ascii="Arial" w:eastAsia="Times New Roman" w:hAnsi="Arial" w:cs="Arial"/>
                <w:b/>
                <w:color w:val="FFFFFF"/>
                <w:sz w:val="20"/>
                <w:szCs w:val="20"/>
                <w:lang w:val="mn-MN"/>
              </w:rPr>
            </w:pPr>
            <w:r w:rsidRPr="004024BD">
              <w:rPr>
                <w:rFonts w:ascii="Arial" w:eastAsia="Times New Roman" w:hAnsi="Arial" w:cs="Arial"/>
                <w:b/>
                <w:color w:val="FFFFFF"/>
                <w:sz w:val="20"/>
                <w:szCs w:val="20"/>
                <w:lang w:val="mn-MN"/>
              </w:rPr>
              <w:t>Гадаад зээл</w:t>
            </w:r>
          </w:p>
        </w:tc>
        <w:tc>
          <w:tcPr>
            <w:tcW w:w="1538" w:type="dxa"/>
            <w:tcBorders>
              <w:top w:val="single" w:sz="4" w:space="0" w:color="auto"/>
              <w:left w:val="single" w:sz="4" w:space="0" w:color="auto"/>
              <w:bottom w:val="single" w:sz="4" w:space="0" w:color="auto"/>
              <w:right w:val="single" w:sz="4" w:space="0" w:color="auto"/>
            </w:tcBorders>
            <w:shd w:val="clear" w:color="000000" w:fill="1F3864"/>
            <w:noWrap/>
            <w:vAlign w:val="center"/>
            <w:hideMark/>
          </w:tcPr>
          <w:p w14:paraId="5F289C4C" w14:textId="77777777" w:rsidR="00EB07AB" w:rsidRPr="004024BD" w:rsidRDefault="00EB07AB" w:rsidP="00FD3D1D">
            <w:pPr>
              <w:spacing w:after="0" w:line="240" w:lineRule="auto"/>
              <w:jc w:val="center"/>
              <w:rPr>
                <w:rFonts w:ascii="Arial" w:eastAsia="Times New Roman" w:hAnsi="Arial" w:cs="Arial"/>
                <w:b/>
                <w:color w:val="FFFFFF"/>
                <w:sz w:val="20"/>
                <w:szCs w:val="20"/>
                <w:lang w:val="mn-MN"/>
              </w:rPr>
            </w:pPr>
            <w:r w:rsidRPr="004024BD">
              <w:rPr>
                <w:rFonts w:ascii="Arial" w:eastAsia="Times New Roman" w:hAnsi="Arial" w:cs="Arial"/>
                <w:b/>
                <w:color w:val="FFFFFF"/>
                <w:sz w:val="20"/>
                <w:szCs w:val="20"/>
                <w:lang w:val="mn-MN"/>
              </w:rPr>
              <w:t>Дотоод зээл</w:t>
            </w:r>
          </w:p>
        </w:tc>
        <w:tc>
          <w:tcPr>
            <w:tcW w:w="1357" w:type="dxa"/>
            <w:tcBorders>
              <w:top w:val="single" w:sz="4" w:space="0" w:color="auto"/>
              <w:left w:val="single" w:sz="4" w:space="0" w:color="auto"/>
              <w:bottom w:val="single" w:sz="4" w:space="0" w:color="auto"/>
              <w:right w:val="single" w:sz="4" w:space="0" w:color="auto"/>
            </w:tcBorders>
            <w:shd w:val="clear" w:color="000000" w:fill="1F3864"/>
            <w:noWrap/>
            <w:vAlign w:val="center"/>
            <w:hideMark/>
          </w:tcPr>
          <w:p w14:paraId="3400F6F0" w14:textId="77777777" w:rsidR="00EB07AB" w:rsidRPr="004024BD" w:rsidRDefault="00EB07AB" w:rsidP="00FD3D1D">
            <w:pPr>
              <w:spacing w:after="0" w:line="240" w:lineRule="auto"/>
              <w:jc w:val="center"/>
              <w:rPr>
                <w:rFonts w:ascii="Arial" w:eastAsia="Times New Roman" w:hAnsi="Arial" w:cs="Arial"/>
                <w:b/>
                <w:color w:val="FFFFFF"/>
                <w:sz w:val="20"/>
                <w:szCs w:val="20"/>
                <w:lang w:val="mn-MN"/>
              </w:rPr>
            </w:pPr>
            <w:r w:rsidRPr="004024BD">
              <w:rPr>
                <w:rFonts w:ascii="Arial" w:eastAsia="Times New Roman" w:hAnsi="Arial" w:cs="Arial"/>
                <w:b/>
                <w:color w:val="FFFFFF"/>
                <w:sz w:val="20"/>
                <w:szCs w:val="20"/>
                <w:lang w:val="mn-MN"/>
              </w:rPr>
              <w:t>Нийт</w:t>
            </w:r>
          </w:p>
        </w:tc>
      </w:tr>
      <w:tr w:rsidR="00EB07AB" w:rsidRPr="004024BD" w14:paraId="74ED6047" w14:textId="77777777" w:rsidTr="00FD3D1D">
        <w:trPr>
          <w:trHeight w:val="348"/>
        </w:trPr>
        <w:tc>
          <w:tcPr>
            <w:tcW w:w="53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5337C" w14:textId="77777777" w:rsidR="00EB07AB" w:rsidRPr="004024BD" w:rsidRDefault="00EB07AB" w:rsidP="00FD3D1D">
            <w:pPr>
              <w:spacing w:after="0" w:line="240" w:lineRule="auto"/>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Засгийн газрын өр /тэрбум төгрөг/</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50758"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25,525.2</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79901"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657.3</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593A0"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26,182.5</w:t>
            </w:r>
          </w:p>
        </w:tc>
      </w:tr>
      <w:tr w:rsidR="00EB07AB" w:rsidRPr="004024BD" w14:paraId="00063EBB" w14:textId="77777777" w:rsidTr="00FD3D1D">
        <w:trPr>
          <w:trHeight w:val="407"/>
        </w:trPr>
        <w:tc>
          <w:tcPr>
            <w:tcW w:w="53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936712" w14:textId="77777777" w:rsidR="00EB07AB" w:rsidRPr="004024BD" w:rsidRDefault="00EB07AB" w:rsidP="00FD3D1D">
            <w:pPr>
              <w:spacing w:after="0" w:line="240" w:lineRule="auto"/>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Засгийн газрын өр /сая ам.доллар/</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6114E"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8,960.0</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2A929"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225.9</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08334"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9,185.9</w:t>
            </w:r>
          </w:p>
        </w:tc>
      </w:tr>
      <w:tr w:rsidR="00EB07AB" w:rsidRPr="004024BD" w14:paraId="5CB333FD" w14:textId="77777777" w:rsidTr="00FD3D1D">
        <w:trPr>
          <w:trHeight w:val="401"/>
        </w:trPr>
        <w:tc>
          <w:tcPr>
            <w:tcW w:w="53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14170" w14:textId="77777777" w:rsidR="00EB07AB" w:rsidRPr="004024BD" w:rsidRDefault="00EB07AB" w:rsidP="00FD3D1D">
            <w:pPr>
              <w:spacing w:after="0" w:line="240" w:lineRule="auto"/>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ДНБ-д эзлэх Засгийн газрын өр нэрлэсэн дүнгээр</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80D53"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59.3</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41405"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1.5</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0D68A"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62.6</w:t>
            </w:r>
          </w:p>
        </w:tc>
      </w:tr>
      <w:tr w:rsidR="00EB07AB" w:rsidRPr="004024BD" w14:paraId="3F15DF0E" w14:textId="77777777" w:rsidTr="00FD3D1D">
        <w:trPr>
          <w:trHeight w:val="393"/>
        </w:trPr>
        <w:tc>
          <w:tcPr>
            <w:tcW w:w="53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E522A" w14:textId="77777777" w:rsidR="00EB07AB" w:rsidRPr="004024BD" w:rsidRDefault="00EB07AB" w:rsidP="00FD3D1D">
            <w:pPr>
              <w:spacing w:after="0" w:line="240" w:lineRule="auto"/>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ДНБ-д эзлэх Засгийн газрын өр өнөөгийн үнэ цэнээр</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30C9F"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49.2</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7F0CC"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1.5</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DB56C"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50.7</w:t>
            </w:r>
          </w:p>
        </w:tc>
      </w:tr>
      <w:tr w:rsidR="00EB07AB" w:rsidRPr="004024BD" w14:paraId="47B45F59" w14:textId="77777777" w:rsidTr="00FD3D1D">
        <w:trPr>
          <w:trHeight w:val="220"/>
        </w:trPr>
        <w:tc>
          <w:tcPr>
            <w:tcW w:w="1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1AE85D" w14:textId="77777777" w:rsidR="00EB07AB" w:rsidRPr="004024BD" w:rsidRDefault="00EB07AB" w:rsidP="00FD3D1D">
            <w:pPr>
              <w:spacing w:after="0" w:line="240" w:lineRule="auto"/>
              <w:rPr>
                <w:rFonts w:ascii="Arial" w:eastAsia="Times New Roman" w:hAnsi="Arial" w:cs="Arial"/>
                <w:b/>
                <w:color w:val="000000"/>
                <w:sz w:val="20"/>
                <w:szCs w:val="20"/>
                <w:lang w:val="mn-MN"/>
              </w:rPr>
            </w:pPr>
            <w:r w:rsidRPr="004024BD">
              <w:rPr>
                <w:rFonts w:ascii="Arial" w:eastAsia="Times New Roman" w:hAnsi="Arial" w:cs="Arial"/>
                <w:b/>
                <w:color w:val="000000"/>
                <w:sz w:val="20"/>
                <w:szCs w:val="20"/>
                <w:lang w:val="mn-MN"/>
              </w:rPr>
              <w:t>Өрийн багцын зардал</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10E2E" w14:textId="77777777" w:rsidR="00EB07AB" w:rsidRPr="004024BD" w:rsidRDefault="00EB07AB" w:rsidP="00FD3D1D">
            <w:pPr>
              <w:spacing w:after="0" w:line="240" w:lineRule="auto"/>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Хүүгийн төлбөрийн ДНБ-д эзлэх хувь</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9BEBF"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1.6</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77C87"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0.2</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12A66"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1.8</w:t>
            </w:r>
          </w:p>
        </w:tc>
      </w:tr>
      <w:tr w:rsidR="00EB07AB" w:rsidRPr="004024BD" w14:paraId="14B0B762" w14:textId="77777777" w:rsidTr="00FD3D1D">
        <w:trPr>
          <w:trHeight w:val="299"/>
        </w:trPr>
        <w:tc>
          <w:tcPr>
            <w:tcW w:w="1913" w:type="dxa"/>
            <w:vMerge/>
            <w:tcBorders>
              <w:top w:val="single" w:sz="4" w:space="0" w:color="auto"/>
              <w:left w:val="single" w:sz="4" w:space="0" w:color="auto"/>
              <w:bottom w:val="single" w:sz="4" w:space="0" w:color="auto"/>
              <w:right w:val="single" w:sz="4" w:space="0" w:color="auto"/>
            </w:tcBorders>
            <w:vAlign w:val="center"/>
            <w:hideMark/>
          </w:tcPr>
          <w:p w14:paraId="6DBAC06E" w14:textId="77777777" w:rsidR="00EB07AB" w:rsidRPr="004024BD" w:rsidRDefault="00EB07AB" w:rsidP="00FD3D1D">
            <w:pPr>
              <w:spacing w:after="0" w:line="240" w:lineRule="auto"/>
              <w:rPr>
                <w:rFonts w:ascii="Arial" w:eastAsia="Times New Roman" w:hAnsi="Arial" w:cs="Arial"/>
                <w:b/>
                <w:color w:val="000000"/>
                <w:sz w:val="20"/>
                <w:szCs w:val="20"/>
                <w:lang w:val="mn-MN"/>
              </w:rPr>
            </w:pP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539C4" w14:textId="77777777" w:rsidR="00EB07AB" w:rsidRPr="004024BD" w:rsidRDefault="00EB07AB" w:rsidP="00FD3D1D">
            <w:pPr>
              <w:spacing w:after="0" w:line="240" w:lineRule="auto"/>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Жигнэсэн дундаж хүү /хувь/</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5ED25"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2.8</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76F38"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12.6</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29BD2"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3</w:t>
            </w:r>
          </w:p>
        </w:tc>
      </w:tr>
      <w:tr w:rsidR="00EB07AB" w:rsidRPr="004024BD" w14:paraId="01358259" w14:textId="77777777" w:rsidTr="00FD3D1D">
        <w:trPr>
          <w:trHeight w:val="530"/>
        </w:trPr>
        <w:tc>
          <w:tcPr>
            <w:tcW w:w="1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7FA40" w14:textId="77777777" w:rsidR="00EB07AB" w:rsidRPr="004024BD" w:rsidRDefault="00EB07AB" w:rsidP="00FD3D1D">
            <w:pPr>
              <w:spacing w:after="0" w:line="240" w:lineRule="auto"/>
              <w:rPr>
                <w:rFonts w:ascii="Arial" w:eastAsia="Times New Roman" w:hAnsi="Arial" w:cs="Arial"/>
                <w:b/>
                <w:color w:val="000000"/>
                <w:sz w:val="20"/>
                <w:szCs w:val="20"/>
                <w:lang w:val="mn-MN"/>
              </w:rPr>
            </w:pPr>
            <w:r w:rsidRPr="004024BD">
              <w:rPr>
                <w:rFonts w:ascii="Arial" w:eastAsia="Times New Roman" w:hAnsi="Arial" w:cs="Arial"/>
                <w:b/>
                <w:color w:val="000000"/>
                <w:sz w:val="20"/>
                <w:szCs w:val="20"/>
                <w:lang w:val="mn-MN"/>
              </w:rPr>
              <w:t>Дахин санхүүжилтийн эрсдэл</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84650" w14:textId="77777777" w:rsidR="00EB07AB" w:rsidRPr="004024BD" w:rsidRDefault="00EB07AB" w:rsidP="00FD3D1D">
            <w:pPr>
              <w:spacing w:after="0" w:line="240" w:lineRule="auto"/>
              <w:rPr>
                <w:rFonts w:ascii="Arial" w:eastAsia="Times New Roman" w:hAnsi="Arial" w:cs="Arial"/>
                <w:color w:val="FF0000"/>
                <w:sz w:val="20"/>
                <w:szCs w:val="20"/>
                <w:lang w:val="mn-MN"/>
              </w:rPr>
            </w:pPr>
            <w:r w:rsidRPr="004024BD">
              <w:rPr>
                <w:rFonts w:ascii="Arial" w:eastAsia="Times New Roman" w:hAnsi="Arial" w:cs="Arial"/>
                <w:color w:val="000000" w:themeColor="text1"/>
                <w:sz w:val="20"/>
                <w:szCs w:val="20"/>
                <w:lang w:val="mn-MN"/>
              </w:rPr>
              <w:t>ATM /</w:t>
            </w:r>
            <w:r w:rsidRPr="004024BD">
              <w:rPr>
                <w:rFonts w:ascii="Arial" w:eastAsia="Times New Roman" w:hAnsi="Arial" w:cs="Arial"/>
                <w:color w:val="000000"/>
                <w:sz w:val="20"/>
                <w:szCs w:val="20"/>
                <w:lang w:val="mn-MN"/>
              </w:rPr>
              <w:t>жил/-эргэн төлөгдөх дундаж хугацаа</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E3577"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8.6</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5FE3C"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2.3</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6FBC5"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8.4</w:t>
            </w:r>
          </w:p>
        </w:tc>
      </w:tr>
      <w:tr w:rsidR="00EB07AB" w:rsidRPr="004024BD" w14:paraId="3DA5D6C3" w14:textId="77777777" w:rsidTr="00FD3D1D">
        <w:trPr>
          <w:trHeight w:val="527"/>
        </w:trPr>
        <w:tc>
          <w:tcPr>
            <w:tcW w:w="1913" w:type="dxa"/>
            <w:vMerge/>
            <w:tcBorders>
              <w:top w:val="single" w:sz="4" w:space="0" w:color="auto"/>
              <w:left w:val="single" w:sz="4" w:space="0" w:color="auto"/>
              <w:bottom w:val="single" w:sz="4" w:space="0" w:color="auto"/>
              <w:right w:val="single" w:sz="4" w:space="0" w:color="auto"/>
            </w:tcBorders>
            <w:vAlign w:val="center"/>
            <w:hideMark/>
          </w:tcPr>
          <w:p w14:paraId="7CD63245" w14:textId="77777777" w:rsidR="00EB07AB" w:rsidRPr="004024BD" w:rsidRDefault="00EB07AB" w:rsidP="00FD3D1D">
            <w:pPr>
              <w:spacing w:after="0" w:line="240" w:lineRule="auto"/>
              <w:rPr>
                <w:rFonts w:ascii="Arial" w:eastAsia="Times New Roman" w:hAnsi="Arial" w:cs="Arial"/>
                <w:b/>
                <w:color w:val="000000"/>
                <w:sz w:val="20"/>
                <w:szCs w:val="20"/>
                <w:lang w:val="mn-MN"/>
              </w:rPr>
            </w:pP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38C23" w14:textId="77777777" w:rsidR="00EB07AB" w:rsidRPr="004024BD" w:rsidRDefault="00EB07AB" w:rsidP="00FD3D1D">
            <w:pPr>
              <w:spacing w:after="0" w:line="240" w:lineRule="auto"/>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Богино хугацаанд төлөгдөх өр /нийт өрд эзлэх хувь/</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3DE86"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3.8</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CA348"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45.3</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0CA83"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4.6</w:t>
            </w:r>
          </w:p>
        </w:tc>
      </w:tr>
      <w:tr w:rsidR="00EB07AB" w:rsidRPr="004024BD" w14:paraId="5CDE3A3D" w14:textId="77777777" w:rsidTr="00FD3D1D">
        <w:trPr>
          <w:trHeight w:val="424"/>
        </w:trPr>
        <w:tc>
          <w:tcPr>
            <w:tcW w:w="1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CC225" w14:textId="77777777" w:rsidR="00EB07AB" w:rsidRPr="004024BD" w:rsidRDefault="00EB07AB" w:rsidP="00FD3D1D">
            <w:pPr>
              <w:spacing w:after="0" w:line="240" w:lineRule="auto"/>
              <w:rPr>
                <w:rFonts w:ascii="Arial" w:eastAsia="Times New Roman" w:hAnsi="Arial" w:cs="Arial"/>
                <w:b/>
                <w:color w:val="000000"/>
                <w:sz w:val="20"/>
                <w:szCs w:val="20"/>
                <w:lang w:val="mn-MN"/>
              </w:rPr>
            </w:pPr>
            <w:r w:rsidRPr="004024BD">
              <w:rPr>
                <w:rFonts w:ascii="Arial" w:eastAsia="Times New Roman" w:hAnsi="Arial" w:cs="Arial"/>
                <w:b/>
                <w:color w:val="000000"/>
                <w:sz w:val="20"/>
                <w:szCs w:val="20"/>
                <w:lang w:val="mn-MN"/>
              </w:rPr>
              <w:t>Хүүгийн түвшний эрсдэл</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CDF9" w14:textId="77777777" w:rsidR="00EB07AB" w:rsidRPr="004024BD" w:rsidRDefault="00EB07AB" w:rsidP="00FD3D1D">
            <w:pPr>
              <w:spacing w:after="0" w:line="240" w:lineRule="auto"/>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Богино хугацаанд төлөгдөх өр /ДНБ-нд эзлэх хувь/</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9CB4"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2.9</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A77AA"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0.7</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792C"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3.6</w:t>
            </w:r>
          </w:p>
        </w:tc>
      </w:tr>
      <w:tr w:rsidR="00EB07AB" w:rsidRPr="004024BD" w14:paraId="625D2D3B" w14:textId="77777777" w:rsidTr="00FD3D1D">
        <w:trPr>
          <w:trHeight w:val="430"/>
        </w:trPr>
        <w:tc>
          <w:tcPr>
            <w:tcW w:w="1913" w:type="dxa"/>
            <w:vMerge/>
            <w:tcBorders>
              <w:top w:val="single" w:sz="4" w:space="0" w:color="auto"/>
              <w:left w:val="single" w:sz="4" w:space="0" w:color="auto"/>
              <w:bottom w:val="single" w:sz="4" w:space="0" w:color="auto"/>
              <w:right w:val="single" w:sz="4" w:space="0" w:color="auto"/>
            </w:tcBorders>
            <w:vAlign w:val="center"/>
            <w:hideMark/>
          </w:tcPr>
          <w:p w14:paraId="546D2B46" w14:textId="77777777" w:rsidR="00EB07AB" w:rsidRPr="004024BD" w:rsidRDefault="00EB07AB" w:rsidP="00FD3D1D">
            <w:pPr>
              <w:spacing w:after="0" w:line="240" w:lineRule="auto"/>
              <w:rPr>
                <w:rFonts w:ascii="Arial" w:eastAsia="Times New Roman" w:hAnsi="Arial" w:cs="Arial"/>
                <w:b/>
                <w:color w:val="000000"/>
                <w:sz w:val="20"/>
                <w:szCs w:val="20"/>
                <w:lang w:val="mn-MN"/>
              </w:rPr>
            </w:pP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20999" w14:textId="77777777" w:rsidR="00EB07AB" w:rsidRPr="004024BD" w:rsidRDefault="00EB07AB" w:rsidP="00FD3D1D">
            <w:pPr>
              <w:spacing w:after="0" w:line="240" w:lineRule="auto"/>
              <w:rPr>
                <w:rFonts w:ascii="Arial" w:eastAsia="Times New Roman" w:hAnsi="Arial" w:cs="Arial"/>
                <w:color w:val="FF0000"/>
                <w:sz w:val="20"/>
                <w:szCs w:val="20"/>
                <w:lang w:val="mn-MN"/>
              </w:rPr>
            </w:pPr>
            <w:r w:rsidRPr="004024BD">
              <w:rPr>
                <w:rFonts w:ascii="Arial" w:eastAsia="Times New Roman" w:hAnsi="Arial" w:cs="Arial"/>
                <w:color w:val="000000" w:themeColor="text1"/>
                <w:sz w:val="20"/>
                <w:szCs w:val="20"/>
                <w:lang w:val="mn-MN"/>
              </w:rPr>
              <w:t>ATR</w:t>
            </w:r>
            <w:r w:rsidRPr="004024BD">
              <w:rPr>
                <w:rFonts w:ascii="Arial" w:eastAsia="Times New Roman" w:hAnsi="Arial" w:cs="Arial"/>
                <w:color w:val="000000"/>
                <w:sz w:val="20"/>
                <w:szCs w:val="20"/>
                <w:lang w:val="mn-MN"/>
              </w:rPr>
              <w:t xml:space="preserve"> /жил/-хүү шинэчлэгдэх дундаж хугацаа</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7255F"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7.6</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191D7"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2.3</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4C743"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7.5</w:t>
            </w:r>
          </w:p>
        </w:tc>
      </w:tr>
      <w:tr w:rsidR="00EB07AB" w:rsidRPr="004024BD" w14:paraId="280C7FB9" w14:textId="77777777" w:rsidTr="00FD3D1D">
        <w:trPr>
          <w:trHeight w:val="436"/>
        </w:trPr>
        <w:tc>
          <w:tcPr>
            <w:tcW w:w="1913" w:type="dxa"/>
            <w:vMerge/>
            <w:tcBorders>
              <w:top w:val="single" w:sz="4" w:space="0" w:color="auto"/>
              <w:left w:val="single" w:sz="4" w:space="0" w:color="auto"/>
              <w:bottom w:val="single" w:sz="4" w:space="0" w:color="auto"/>
              <w:right w:val="single" w:sz="4" w:space="0" w:color="auto"/>
            </w:tcBorders>
            <w:vAlign w:val="center"/>
            <w:hideMark/>
          </w:tcPr>
          <w:p w14:paraId="2B9D0CBF" w14:textId="77777777" w:rsidR="00EB07AB" w:rsidRPr="004024BD" w:rsidRDefault="00EB07AB" w:rsidP="00FD3D1D">
            <w:pPr>
              <w:spacing w:after="0" w:line="240" w:lineRule="auto"/>
              <w:rPr>
                <w:rFonts w:ascii="Arial" w:eastAsia="Times New Roman" w:hAnsi="Arial" w:cs="Arial"/>
                <w:b/>
                <w:color w:val="000000"/>
                <w:sz w:val="20"/>
                <w:szCs w:val="20"/>
                <w:lang w:val="mn-MN"/>
              </w:rPr>
            </w:pP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ECCD5" w14:textId="77777777" w:rsidR="00EB07AB" w:rsidRPr="004024BD" w:rsidRDefault="00EB07AB" w:rsidP="00FD3D1D">
            <w:pPr>
              <w:spacing w:after="0" w:line="240" w:lineRule="auto"/>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1 жилд тогтмолжуулах өр /нийт өрд эзлэх хувь/</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4F23A"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16.2</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D75A9"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45.3</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79F06"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16.7</w:t>
            </w:r>
          </w:p>
        </w:tc>
      </w:tr>
      <w:tr w:rsidR="00EB07AB" w:rsidRPr="004024BD" w14:paraId="63F8D95F" w14:textId="77777777" w:rsidTr="00FD3D1D">
        <w:trPr>
          <w:trHeight w:val="455"/>
        </w:trPr>
        <w:tc>
          <w:tcPr>
            <w:tcW w:w="1913" w:type="dxa"/>
            <w:vMerge/>
            <w:tcBorders>
              <w:top w:val="single" w:sz="4" w:space="0" w:color="auto"/>
              <w:left w:val="single" w:sz="4" w:space="0" w:color="auto"/>
              <w:bottom w:val="single" w:sz="4" w:space="0" w:color="auto"/>
              <w:right w:val="single" w:sz="4" w:space="0" w:color="auto"/>
            </w:tcBorders>
            <w:vAlign w:val="center"/>
            <w:hideMark/>
          </w:tcPr>
          <w:p w14:paraId="028CAE2F" w14:textId="77777777" w:rsidR="00EB07AB" w:rsidRPr="004024BD" w:rsidRDefault="00EB07AB" w:rsidP="00FD3D1D">
            <w:pPr>
              <w:spacing w:after="0" w:line="240" w:lineRule="auto"/>
              <w:rPr>
                <w:rFonts w:ascii="Arial" w:eastAsia="Times New Roman" w:hAnsi="Arial" w:cs="Arial"/>
                <w:b/>
                <w:color w:val="000000"/>
                <w:sz w:val="20"/>
                <w:szCs w:val="20"/>
                <w:lang w:val="mn-MN"/>
              </w:rPr>
            </w:pP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2E99C" w14:textId="77777777" w:rsidR="00EB07AB" w:rsidRPr="004024BD" w:rsidRDefault="00EB07AB" w:rsidP="00FD3D1D">
            <w:pPr>
              <w:spacing w:after="0" w:line="240" w:lineRule="auto"/>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Тогтмол хүүтэй зээл ба үнэт цаас /нийт өрд эзлэх хувь/</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8E9C8"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87</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D5B8D"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100</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E50D"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87.2</w:t>
            </w:r>
          </w:p>
        </w:tc>
      </w:tr>
      <w:tr w:rsidR="00EB07AB" w:rsidRPr="004024BD" w14:paraId="00D240B6" w14:textId="77777777" w:rsidTr="00FD3D1D">
        <w:trPr>
          <w:trHeight w:val="187"/>
        </w:trPr>
        <w:tc>
          <w:tcPr>
            <w:tcW w:w="1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7ED73" w14:textId="77777777" w:rsidR="00EB07AB" w:rsidRPr="004024BD" w:rsidRDefault="00EB07AB" w:rsidP="00FD3D1D">
            <w:pPr>
              <w:spacing w:after="0" w:line="240" w:lineRule="auto"/>
              <w:rPr>
                <w:rFonts w:ascii="Arial" w:eastAsia="Times New Roman" w:hAnsi="Arial" w:cs="Arial"/>
                <w:b/>
                <w:color w:val="000000"/>
                <w:sz w:val="20"/>
                <w:szCs w:val="20"/>
                <w:lang w:val="mn-MN"/>
              </w:rPr>
            </w:pPr>
            <w:r w:rsidRPr="004024BD">
              <w:rPr>
                <w:rFonts w:ascii="Arial" w:eastAsia="Times New Roman" w:hAnsi="Arial" w:cs="Arial"/>
                <w:b/>
                <w:color w:val="000000"/>
                <w:sz w:val="20"/>
                <w:szCs w:val="20"/>
                <w:lang w:val="mn-MN"/>
              </w:rPr>
              <w:t>Ханшийн эрсдэл</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D29C0" w14:textId="77777777" w:rsidR="00EB07AB" w:rsidRPr="004024BD" w:rsidRDefault="00EB07AB" w:rsidP="00FD3D1D">
            <w:pPr>
              <w:spacing w:after="0" w:line="240" w:lineRule="auto"/>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Гадаад валютаар илэрхийлэгдсэн өр /нийт өрд эзлэх хувь/</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75D7A" w14:textId="77777777" w:rsidR="00EB07AB" w:rsidRPr="004024BD" w:rsidRDefault="00EB07AB" w:rsidP="00FD3D1D">
            <w:pPr>
              <w:spacing w:after="0" w:line="240" w:lineRule="auto"/>
              <w:rPr>
                <w:rFonts w:ascii="Arial" w:eastAsia="Times New Roman" w:hAnsi="Arial" w:cs="Arial"/>
                <w:sz w:val="20"/>
                <w:szCs w:val="20"/>
                <w:lang w:val="mn-MN"/>
              </w:rPr>
            </w:pP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9EA09" w14:textId="77777777" w:rsidR="00EB07AB" w:rsidRPr="004024BD" w:rsidRDefault="00EB07AB" w:rsidP="00FD3D1D">
            <w:pPr>
              <w:spacing w:after="0" w:line="240" w:lineRule="auto"/>
              <w:rPr>
                <w:rFonts w:ascii="Times New Roman" w:eastAsia="Times New Roman" w:hAnsi="Times New Roman" w:cs="Times New Roman"/>
                <w:sz w:val="20"/>
                <w:szCs w:val="20"/>
                <w:lang w:val="mn-MN"/>
              </w:rPr>
            </w:pP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43782" w14:textId="77777777" w:rsidR="00EB07AB" w:rsidRPr="004024BD" w:rsidRDefault="00EB07AB" w:rsidP="00FD3D1D">
            <w:pPr>
              <w:spacing w:after="0" w:line="240" w:lineRule="auto"/>
              <w:jc w:val="right"/>
              <w:rPr>
                <w:rFonts w:ascii="Arial" w:eastAsia="Times New Roman" w:hAnsi="Arial" w:cs="Arial"/>
                <w:sz w:val="20"/>
                <w:szCs w:val="20"/>
                <w:lang w:val="mn-MN"/>
              </w:rPr>
            </w:pPr>
            <w:r w:rsidRPr="004024BD">
              <w:rPr>
                <w:rFonts w:ascii="Arial" w:eastAsia="Times New Roman" w:hAnsi="Arial" w:cs="Arial"/>
                <w:sz w:val="20"/>
                <w:szCs w:val="20"/>
                <w:lang w:val="mn-MN"/>
              </w:rPr>
              <w:t>97.5</w:t>
            </w:r>
          </w:p>
        </w:tc>
      </w:tr>
      <w:tr w:rsidR="00EB07AB" w:rsidRPr="004024BD" w14:paraId="70E2716E" w14:textId="77777777" w:rsidTr="00FD3D1D">
        <w:trPr>
          <w:trHeight w:val="162"/>
        </w:trPr>
        <w:tc>
          <w:tcPr>
            <w:tcW w:w="1913" w:type="dxa"/>
            <w:vMerge/>
            <w:tcBorders>
              <w:top w:val="single" w:sz="4" w:space="0" w:color="auto"/>
              <w:left w:val="single" w:sz="4" w:space="0" w:color="auto"/>
              <w:bottom w:val="single" w:sz="4" w:space="0" w:color="auto"/>
              <w:right w:val="single" w:sz="4" w:space="0" w:color="auto"/>
            </w:tcBorders>
            <w:vAlign w:val="center"/>
            <w:hideMark/>
          </w:tcPr>
          <w:p w14:paraId="1D09285D" w14:textId="77777777" w:rsidR="00EB07AB" w:rsidRPr="004024BD" w:rsidRDefault="00EB07AB" w:rsidP="00FD3D1D">
            <w:pPr>
              <w:spacing w:after="0" w:line="240" w:lineRule="auto"/>
              <w:rPr>
                <w:rFonts w:ascii="Arial" w:eastAsia="Times New Roman" w:hAnsi="Arial" w:cs="Arial"/>
                <w:color w:val="000000"/>
                <w:sz w:val="20"/>
                <w:szCs w:val="20"/>
                <w:lang w:val="mn-MN"/>
              </w:rPr>
            </w:pP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E2BA4" w14:textId="77777777" w:rsidR="00EB07AB" w:rsidRPr="004024BD" w:rsidRDefault="00EB07AB" w:rsidP="00FD3D1D">
            <w:pPr>
              <w:spacing w:after="0" w:line="240" w:lineRule="auto"/>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 xml:space="preserve">Валютын нөөцөд эзлэх богино хугацаат гадаад өр </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CE5DE" w14:textId="77777777" w:rsidR="00EB07AB" w:rsidRPr="004024BD" w:rsidRDefault="00EB07AB" w:rsidP="00FD3D1D">
            <w:pPr>
              <w:spacing w:after="0" w:line="240" w:lineRule="auto"/>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 </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B4915" w14:textId="77777777" w:rsidR="00EB07AB" w:rsidRPr="004024BD" w:rsidRDefault="00EB07AB" w:rsidP="00FD3D1D">
            <w:pPr>
              <w:spacing w:after="0" w:line="240" w:lineRule="auto"/>
              <w:rPr>
                <w:rFonts w:ascii="Calibri" w:eastAsia="Times New Roman" w:hAnsi="Calibri" w:cs="Calibri"/>
                <w:color w:val="000000"/>
                <w:sz w:val="20"/>
                <w:szCs w:val="20"/>
                <w:lang w:val="mn-MN"/>
              </w:rPr>
            </w:pPr>
            <w:r w:rsidRPr="004024BD">
              <w:rPr>
                <w:rFonts w:ascii="Calibri" w:eastAsia="Times New Roman" w:hAnsi="Calibri" w:cs="Calibri"/>
                <w:color w:val="000000"/>
                <w:sz w:val="20"/>
                <w:szCs w:val="20"/>
                <w:lang w:val="mn-MN"/>
              </w:rPr>
              <w:t> </w:t>
            </w:r>
          </w:p>
        </w:tc>
        <w:tc>
          <w:tcPr>
            <w:tcW w:w="13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F7B19" w14:textId="77777777" w:rsidR="00EB07AB" w:rsidRPr="004024BD" w:rsidRDefault="00EB07AB" w:rsidP="00FD3D1D">
            <w:pPr>
              <w:spacing w:after="0" w:line="240" w:lineRule="auto"/>
              <w:jc w:val="right"/>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9.5</w:t>
            </w:r>
          </w:p>
        </w:tc>
      </w:tr>
    </w:tbl>
    <w:p w14:paraId="3A2672D6" w14:textId="77777777" w:rsidR="00EB07AB" w:rsidRPr="004024BD" w:rsidRDefault="00EB07AB" w:rsidP="00EB07AB">
      <w:pPr>
        <w:pStyle w:val="Heading2"/>
        <w:ind w:left="180"/>
        <w:rPr>
          <w:sz w:val="20"/>
          <w:szCs w:val="20"/>
        </w:rPr>
      </w:pPr>
      <w:r w:rsidRPr="004024BD">
        <w:rPr>
          <w:sz w:val="20"/>
          <w:szCs w:val="20"/>
        </w:rPr>
        <w:tab/>
      </w:r>
      <w:r w:rsidRPr="004024BD">
        <w:rPr>
          <w:sz w:val="20"/>
          <w:szCs w:val="20"/>
        </w:rPr>
        <w:tab/>
      </w:r>
    </w:p>
    <w:p w14:paraId="7010488B" w14:textId="77777777" w:rsidR="00EB07AB" w:rsidRPr="004024BD" w:rsidRDefault="00EB07AB" w:rsidP="00EB07AB">
      <w:pPr>
        <w:pStyle w:val="Heading2"/>
        <w:ind w:left="180"/>
        <w:rPr>
          <w:szCs w:val="24"/>
        </w:rPr>
      </w:pPr>
      <w:r w:rsidRPr="004024BD">
        <w:rPr>
          <w:sz w:val="20"/>
          <w:szCs w:val="20"/>
        </w:rPr>
        <w:tab/>
      </w:r>
      <w:r w:rsidRPr="004024BD">
        <w:rPr>
          <w:sz w:val="22"/>
        </w:rPr>
        <w:tab/>
      </w:r>
      <w:r w:rsidRPr="004024BD">
        <w:rPr>
          <w:szCs w:val="24"/>
        </w:rPr>
        <w:t>5.1.Өрийн багцын зардал /хүүгийн төлбөр/</w:t>
      </w:r>
    </w:p>
    <w:p w14:paraId="3BBBDD4E" w14:textId="77777777" w:rsidR="00EB07AB" w:rsidRPr="004024BD" w:rsidRDefault="00EB07AB" w:rsidP="00EB07AB">
      <w:pPr>
        <w:spacing w:after="0" w:line="240" w:lineRule="auto"/>
        <w:rPr>
          <w:sz w:val="24"/>
          <w:szCs w:val="24"/>
          <w:lang w:val="mn-MN"/>
        </w:rPr>
      </w:pPr>
    </w:p>
    <w:p w14:paraId="3125C6E3"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Өрийн багцын зардал 2021 оны жилийн эцсийн байдлаар ДНБ-ний 1.8 хувьтай тэнцэж байна. Үүнээс Засгийн газрын гадаад өрийн зардал ДНБ-ний 1.6 хувь, дотоод өрийн зардал ДНБ-ний 0.2 хувь байна. Өрийн багцад эзлэх дотоод өрийн зардал буурахад Засгийн газраас 2017 оны 10 дугаар сараас өндөр хүүтэй дотоод үнэт цаасны арилжааг зогсоож, зарим үнэт цаасыг хугацаанаас өмнө буцаан худалдан авсан нь чухал нөлөө үзүүлсэн.</w:t>
      </w:r>
    </w:p>
    <w:p w14:paraId="114BCC3B" w14:textId="77777777" w:rsidR="00EB07AB" w:rsidRPr="004024BD" w:rsidRDefault="00EB07AB" w:rsidP="00EB07AB">
      <w:pPr>
        <w:pStyle w:val="NoSpacing"/>
        <w:spacing w:after="0" w:line="240" w:lineRule="auto"/>
        <w:rPr>
          <w:rFonts w:ascii="Arial" w:hAnsi="Arial" w:cs="Arial"/>
          <w:sz w:val="24"/>
          <w:szCs w:val="24"/>
        </w:rPr>
      </w:pPr>
    </w:p>
    <w:p w14:paraId="23E6BE24"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Түүнчлэн 2021 оны жилийн эцсийн байдлаар жигнэсэн дундаж хүү</w:t>
      </w:r>
      <w:r w:rsidRPr="004024BD">
        <w:rPr>
          <w:rStyle w:val="FootnoteReference"/>
          <w:rFonts w:ascii="Arial" w:hAnsi="Arial" w:cs="Arial"/>
          <w:sz w:val="24"/>
          <w:szCs w:val="24"/>
        </w:rPr>
        <w:footnoteReference w:id="5"/>
      </w:r>
      <w:r w:rsidRPr="004024BD">
        <w:rPr>
          <w:rFonts w:ascii="Arial" w:hAnsi="Arial" w:cs="Arial"/>
          <w:sz w:val="24"/>
          <w:szCs w:val="24"/>
        </w:rPr>
        <w:t xml:space="preserve"> 3.0 хувьтай байна. </w:t>
      </w:r>
      <w:r w:rsidRPr="004024BD">
        <w:rPr>
          <w:rFonts w:ascii="Arial" w:hAnsi="Arial" w:cs="Arial"/>
          <w:color w:val="000000" w:themeColor="text1"/>
          <w:sz w:val="24"/>
          <w:szCs w:val="24"/>
        </w:rPr>
        <w:t>Үүнд</w:t>
      </w:r>
      <w:r w:rsidRPr="004024BD">
        <w:rPr>
          <w:rFonts w:ascii="Arial" w:hAnsi="Arial" w:cs="Arial"/>
          <w:sz w:val="24"/>
          <w:szCs w:val="24"/>
        </w:rPr>
        <w:t xml:space="preserve"> гадаад өрийн жигнэсэн дундаж хүү 2.8 хувь, дотоод өрийн жигнэсэн дундаж хүү </w:t>
      </w:r>
      <w:r w:rsidRPr="004024BD">
        <w:rPr>
          <w:rFonts w:ascii="Arial" w:hAnsi="Arial" w:cs="Arial"/>
          <w:color w:val="000000" w:themeColor="text1"/>
          <w:sz w:val="24"/>
          <w:szCs w:val="24"/>
        </w:rPr>
        <w:t xml:space="preserve">12.6 </w:t>
      </w:r>
      <w:r w:rsidRPr="004024BD">
        <w:rPr>
          <w:rFonts w:ascii="Arial" w:hAnsi="Arial" w:cs="Arial"/>
          <w:sz w:val="24"/>
          <w:szCs w:val="24"/>
        </w:rPr>
        <w:t>хувь байна.</w:t>
      </w:r>
    </w:p>
    <w:p w14:paraId="66192239" w14:textId="77777777" w:rsidR="00EB07AB" w:rsidRPr="004024BD" w:rsidRDefault="00EB07AB" w:rsidP="00EB07AB">
      <w:pPr>
        <w:pStyle w:val="NoSpacing"/>
        <w:snapToGrid w:val="0"/>
        <w:spacing w:after="0" w:line="240" w:lineRule="auto"/>
        <w:contextualSpacing/>
        <w:rPr>
          <w:rFonts w:ascii="Arial" w:hAnsi="Arial" w:cs="Arial"/>
          <w:sz w:val="24"/>
          <w:szCs w:val="24"/>
        </w:rPr>
      </w:pPr>
    </w:p>
    <w:p w14:paraId="6D42D8EB" w14:textId="77777777" w:rsidR="00EB07AB" w:rsidRPr="004024BD" w:rsidRDefault="00EB07AB" w:rsidP="00EB07AB">
      <w:pPr>
        <w:pStyle w:val="Heading2"/>
        <w:snapToGrid w:val="0"/>
        <w:ind w:left="540"/>
        <w:contextualSpacing/>
        <w:rPr>
          <w:szCs w:val="24"/>
        </w:rPr>
      </w:pPr>
      <w:r w:rsidRPr="004024BD">
        <w:rPr>
          <w:szCs w:val="24"/>
        </w:rPr>
        <w:tab/>
        <w:t>5.2.Өрийн багцын эрсдэл</w:t>
      </w:r>
    </w:p>
    <w:p w14:paraId="3888A502" w14:textId="77777777" w:rsidR="00EB07AB" w:rsidRPr="004024BD" w:rsidRDefault="00EB07AB" w:rsidP="00EB07AB">
      <w:pPr>
        <w:pStyle w:val="Heading2"/>
        <w:snapToGrid w:val="0"/>
        <w:ind w:left="540"/>
        <w:contextualSpacing/>
        <w:rPr>
          <w:szCs w:val="24"/>
        </w:rPr>
      </w:pPr>
    </w:p>
    <w:p w14:paraId="6D2F1E75" w14:textId="77777777" w:rsidR="00EB07AB" w:rsidRPr="004024BD" w:rsidRDefault="00EB07AB" w:rsidP="00EB07AB">
      <w:pPr>
        <w:pStyle w:val="Heading2"/>
        <w:snapToGrid w:val="0"/>
        <w:ind w:left="540"/>
        <w:contextualSpacing/>
        <w:rPr>
          <w:szCs w:val="24"/>
        </w:rPr>
      </w:pPr>
      <w:r w:rsidRPr="004024BD">
        <w:rPr>
          <w:szCs w:val="24"/>
        </w:rPr>
        <w:tab/>
        <w:t>5.2.1.Дахин санхүүжилтийн эрсдэл</w:t>
      </w:r>
    </w:p>
    <w:p w14:paraId="43B05B73" w14:textId="77777777" w:rsidR="00EB07AB" w:rsidRPr="004024BD" w:rsidRDefault="00EB07AB" w:rsidP="00EB07AB">
      <w:pPr>
        <w:pStyle w:val="NoSpacing"/>
        <w:snapToGrid w:val="0"/>
        <w:spacing w:after="0" w:line="240" w:lineRule="auto"/>
        <w:contextualSpacing/>
        <w:rPr>
          <w:rFonts w:ascii="Arial" w:hAnsi="Arial" w:cs="Arial"/>
          <w:b/>
          <w:sz w:val="24"/>
          <w:szCs w:val="24"/>
        </w:rPr>
      </w:pPr>
      <w:r w:rsidRPr="004024BD">
        <w:rPr>
          <w:rFonts w:ascii="Arial" w:hAnsi="Arial" w:cs="Arial"/>
          <w:b/>
          <w:sz w:val="24"/>
          <w:szCs w:val="24"/>
        </w:rPr>
        <w:tab/>
      </w:r>
    </w:p>
    <w:p w14:paraId="5FB128D0" w14:textId="77777777" w:rsidR="00EB07AB" w:rsidRPr="004024BD" w:rsidRDefault="00EB07AB" w:rsidP="00EB07AB">
      <w:pPr>
        <w:pStyle w:val="NoSpacing"/>
        <w:snapToGrid w:val="0"/>
        <w:spacing w:after="0" w:line="240" w:lineRule="auto"/>
        <w:ind w:firstLine="540"/>
        <w:contextualSpacing/>
        <w:rPr>
          <w:rFonts w:ascii="Arial" w:hAnsi="Arial" w:cs="Arial"/>
          <w:sz w:val="24"/>
          <w:szCs w:val="24"/>
        </w:rPr>
      </w:pPr>
      <w:r w:rsidRPr="004024BD">
        <w:rPr>
          <w:rFonts w:ascii="Arial" w:hAnsi="Arial" w:cs="Arial"/>
          <w:sz w:val="24"/>
          <w:szCs w:val="24"/>
        </w:rPr>
        <w:t xml:space="preserve">Монгол Улсын Засгийн газрын 2012 онд арилжаалсан 1,000.0 сая ам.доллартой тэнцэх хэмжээтэй “Чингис” бонд, 2017 онд арилжаалсан 500.0 </w:t>
      </w:r>
      <w:r w:rsidRPr="004024BD" w:rsidDel="00220766">
        <w:rPr>
          <w:rFonts w:ascii="Arial" w:hAnsi="Arial" w:cs="Arial"/>
          <w:sz w:val="24"/>
          <w:szCs w:val="24"/>
        </w:rPr>
        <w:t xml:space="preserve">сая </w:t>
      </w:r>
      <w:r w:rsidRPr="004024BD">
        <w:rPr>
          <w:rFonts w:ascii="Arial" w:hAnsi="Arial" w:cs="Arial"/>
          <w:sz w:val="24"/>
          <w:szCs w:val="24"/>
        </w:rPr>
        <w:t xml:space="preserve">ам.доллартой тэнцэх хэмжээтэй “Мазаалай” бондын хугацаа 2021 болон 2022 онуудад дуусаж, дахин санхүүжилтийн эрсдэлтэй тулгарч байсныг 2020 онд 600.0 сая ам.доллартой тэнцэх </w:t>
      </w:r>
      <w:r w:rsidRPr="004024BD">
        <w:rPr>
          <w:rFonts w:ascii="Arial" w:hAnsi="Arial" w:cs="Arial"/>
          <w:sz w:val="24"/>
          <w:szCs w:val="24"/>
        </w:rPr>
        <w:lastRenderedPageBreak/>
        <w:t>хэмжээтэй “Номад” бонд, 2021 онд 1,000.0 сая ам.доллартой тэнцэх хэмжээтэй “Сенчири” бондыг олон улсын зах зээлд арилжаалж, үлдсэн хэсгийг мөнгөн хөрөнгийн үлдэгдлээр санхүүжүүлж, төсөв, гадаад валютын албан нөөцөд дарамт учруулахгүйгээр төлж барагдуулсан.</w:t>
      </w:r>
    </w:p>
    <w:p w14:paraId="2A778BD4" w14:textId="77777777" w:rsidR="00EB07AB" w:rsidRPr="004024BD" w:rsidRDefault="00EB07AB" w:rsidP="00EB07AB">
      <w:pPr>
        <w:pStyle w:val="NoSpacing"/>
        <w:snapToGrid w:val="0"/>
        <w:spacing w:after="0" w:line="240" w:lineRule="auto"/>
        <w:ind w:firstLine="540"/>
        <w:contextualSpacing/>
        <w:rPr>
          <w:rFonts w:ascii="Arial" w:hAnsi="Arial" w:cs="Arial"/>
          <w:sz w:val="24"/>
          <w:szCs w:val="24"/>
        </w:rPr>
      </w:pPr>
    </w:p>
    <w:p w14:paraId="473C1CCE"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Мөн Засгийн газар 2017 оны 10 дугаар сарын 24-ний өдрөөс дотоод үнэт цаасны арилжааг зогсоож, үнэт цаасны төлбөрийг хугацаанд нь төлж барагдуулж байна. Ингэснээр Засгийн газрын дотоод үнэт цаасны үлдэгдэл 2021 оны жилийн эцсийн байдлаар 657.3 тэрбум төгрөг болж буурсан.</w:t>
      </w:r>
    </w:p>
    <w:p w14:paraId="6829EE0A" w14:textId="77777777" w:rsidR="00EB07AB" w:rsidRPr="004024BD" w:rsidRDefault="00EB07AB" w:rsidP="00EB07AB">
      <w:pPr>
        <w:pStyle w:val="NoSpacing"/>
        <w:spacing w:after="0" w:line="240" w:lineRule="auto"/>
        <w:rPr>
          <w:rFonts w:ascii="Arial" w:hAnsi="Arial" w:cs="Arial"/>
          <w:sz w:val="24"/>
          <w:szCs w:val="24"/>
        </w:rPr>
      </w:pPr>
    </w:p>
    <w:p w14:paraId="2B9DE25B"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Үүний үр дүнд 2018 оны жилийн эцсийн байдлаар Засгийн газрын өрийн багцын хувьд дахин санхүүжилтийн эрсдэл харьцангуй бага түвшинд буюу нийт багцын хүрээнд эргэн төлөлтийн дундаж хугацаа /ATM/</w:t>
      </w:r>
      <w:r w:rsidRPr="004024BD">
        <w:rPr>
          <w:rStyle w:val="FootnoteReference"/>
          <w:rFonts w:ascii="Arial" w:hAnsi="Arial" w:cs="Arial"/>
          <w:sz w:val="24"/>
          <w:szCs w:val="24"/>
        </w:rPr>
        <w:footnoteReference w:id="6"/>
      </w:r>
      <w:r w:rsidRPr="004024BD">
        <w:rPr>
          <w:rFonts w:ascii="Arial" w:hAnsi="Arial" w:cs="Arial"/>
          <w:sz w:val="24"/>
          <w:szCs w:val="24"/>
        </w:rPr>
        <w:t xml:space="preserve"> 8.4 жилтэй тэнцэж байна.</w:t>
      </w:r>
    </w:p>
    <w:p w14:paraId="63018609" w14:textId="77777777" w:rsidR="00EB07AB" w:rsidRPr="004024BD" w:rsidRDefault="00EB07AB" w:rsidP="00EB07AB">
      <w:pPr>
        <w:pStyle w:val="NoSpacing"/>
        <w:spacing w:after="0" w:line="240" w:lineRule="auto"/>
        <w:rPr>
          <w:rFonts w:ascii="Arial" w:hAnsi="Arial" w:cs="Arial"/>
          <w:sz w:val="24"/>
          <w:szCs w:val="24"/>
        </w:rPr>
      </w:pPr>
    </w:p>
    <w:p w14:paraId="4C800453"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Түүнчлэн 2023, 2024 онд “Гэрэгэ”, “Хуралдай” бондуудын төлбөр төлөгдөх учир дахин санхүүжүүлэх, мөнгөн хуримтлалын үлдэгдлээс төлөх зэрэг өрийн зохицуулалтын арга хэмжээг үргэлжлүүлэн авч хэрэгжүүлэхээр төлөвлөж байна.</w:t>
      </w:r>
    </w:p>
    <w:p w14:paraId="6632C40F" w14:textId="77777777" w:rsidR="00EB07AB" w:rsidRPr="004024BD" w:rsidRDefault="00EB07AB" w:rsidP="00EB07AB">
      <w:pPr>
        <w:pStyle w:val="NoSpacing"/>
        <w:spacing w:after="0" w:line="240" w:lineRule="auto"/>
        <w:rPr>
          <w:rFonts w:ascii="Arial" w:hAnsi="Arial" w:cs="Arial"/>
          <w:sz w:val="24"/>
          <w:szCs w:val="24"/>
        </w:rPr>
      </w:pPr>
    </w:p>
    <w:p w14:paraId="44986078" w14:textId="77777777" w:rsidR="00EB07AB" w:rsidRPr="004024BD" w:rsidRDefault="00EB07AB" w:rsidP="00EB07AB">
      <w:pPr>
        <w:pStyle w:val="Heading3"/>
        <w:spacing w:before="0" w:line="240" w:lineRule="auto"/>
        <w:rPr>
          <w:rFonts w:ascii="Arial" w:hAnsi="Arial" w:cs="Arial"/>
          <w:b/>
          <w:color w:val="auto"/>
        </w:rPr>
      </w:pPr>
      <w:r w:rsidRPr="004024BD">
        <w:rPr>
          <w:rFonts w:ascii="Arial" w:hAnsi="Arial" w:cs="Arial"/>
          <w:b/>
          <w:color w:val="auto"/>
        </w:rPr>
        <w:tab/>
        <w:t>5.2.2.Хүүгийн түвшний эрсдэл</w:t>
      </w:r>
    </w:p>
    <w:p w14:paraId="24B9C073" w14:textId="77777777" w:rsidR="00EB07AB" w:rsidRPr="004024BD" w:rsidRDefault="00EB07AB" w:rsidP="00EB07AB">
      <w:pPr>
        <w:spacing w:after="0" w:line="240" w:lineRule="auto"/>
        <w:jc w:val="both"/>
        <w:rPr>
          <w:rFonts w:ascii="Arial" w:hAnsi="Arial" w:cs="Arial"/>
          <w:sz w:val="24"/>
          <w:szCs w:val="24"/>
          <w:lang w:val="mn-MN"/>
        </w:rPr>
      </w:pPr>
    </w:p>
    <w:p w14:paraId="0518C1FD"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Засгийн газрын өрийн багц дахь хүү тогтмолжуулах дундаж хугацаа 7.5 жил байна. Үүнээс гадаад өрийн хүү тогтмолжуулах дундаж хугацаа /ATR/ 7.6 жил байгаа бол дотоод өрийн хүү тогтмолжуулах дундаж хугацаа /ATR/ харьцангуй бага буюу 2.3 жил байна.</w:t>
      </w:r>
    </w:p>
    <w:p w14:paraId="21D6C1F5" w14:textId="77777777" w:rsidR="00EB07AB" w:rsidRPr="004024BD" w:rsidRDefault="00EB07AB" w:rsidP="00EB07AB">
      <w:pPr>
        <w:pStyle w:val="NoSpacing"/>
        <w:spacing w:after="0" w:line="240" w:lineRule="auto"/>
        <w:rPr>
          <w:rFonts w:ascii="Arial" w:hAnsi="Arial" w:cs="Arial"/>
          <w:sz w:val="24"/>
          <w:szCs w:val="24"/>
        </w:rPr>
      </w:pPr>
    </w:p>
    <w:p w14:paraId="46DB8C93" w14:textId="77777777" w:rsidR="00EB07AB" w:rsidRPr="004024BD" w:rsidRDefault="00EB07AB" w:rsidP="00EB07AB">
      <w:pPr>
        <w:pStyle w:val="NoSpacing"/>
        <w:spacing w:after="0" w:line="240" w:lineRule="auto"/>
        <w:rPr>
          <w:rFonts w:ascii="Arial" w:eastAsia="Times New Roman" w:hAnsi="Arial" w:cs="Arial"/>
          <w:color w:val="000000"/>
          <w:sz w:val="24"/>
          <w:szCs w:val="24"/>
        </w:rPr>
      </w:pPr>
      <w:r w:rsidRPr="004024BD">
        <w:rPr>
          <w:rFonts w:ascii="Arial" w:hAnsi="Arial" w:cs="Arial"/>
          <w:sz w:val="24"/>
          <w:szCs w:val="24"/>
        </w:rPr>
        <w:tab/>
      </w:r>
      <w:r w:rsidRPr="004024BD">
        <w:rPr>
          <w:rFonts w:ascii="Arial" w:eastAsia="Times New Roman" w:hAnsi="Arial" w:cs="Arial"/>
          <w:color w:val="000000"/>
          <w:sz w:val="24"/>
          <w:szCs w:val="24"/>
        </w:rPr>
        <w:t xml:space="preserve">Хүү </w:t>
      </w:r>
      <w:r w:rsidRPr="004024BD">
        <w:rPr>
          <w:rFonts w:ascii="Arial" w:hAnsi="Arial" w:cs="Arial"/>
          <w:sz w:val="24"/>
          <w:szCs w:val="24"/>
        </w:rPr>
        <w:t>тогтмолжуулах</w:t>
      </w:r>
      <w:r w:rsidRPr="004024BD">
        <w:rPr>
          <w:rFonts w:ascii="Arial" w:eastAsia="Times New Roman" w:hAnsi="Arial" w:cs="Arial"/>
          <w:color w:val="000000"/>
          <w:sz w:val="24"/>
          <w:szCs w:val="24"/>
        </w:rPr>
        <w:t xml:space="preserve"> дундаж хугацаа нь тухайн өрийн хэрэгслийн хүү дунджаар хэдэн жилийн дотор бүрэн шинэчлэгдэхийг тооцоолдог үзүүлэлт ба үүнд хувьсах хүүтэй өрийн хүү жилийн дотор бүрэн шинэчлэгддэг бол өр төлөгдөж дуусахаар түүнийг дахин санхүүжүүлэх эх үүсвэрийн хувьд шинэ хүү тогтдог.</w:t>
      </w:r>
    </w:p>
    <w:p w14:paraId="6FACC28F" w14:textId="77777777" w:rsidR="00EB07AB" w:rsidRPr="004024BD" w:rsidRDefault="00EB07AB" w:rsidP="00EB07AB">
      <w:pPr>
        <w:pStyle w:val="NoSpacing"/>
        <w:spacing w:after="0" w:line="240" w:lineRule="auto"/>
        <w:rPr>
          <w:rFonts w:ascii="Arial" w:eastAsia="Times New Roman" w:hAnsi="Arial" w:cs="Arial"/>
          <w:color w:val="000000"/>
          <w:sz w:val="24"/>
          <w:szCs w:val="24"/>
        </w:rPr>
      </w:pPr>
    </w:p>
    <w:p w14:paraId="51B0DC03" w14:textId="77777777" w:rsidR="00EB07AB" w:rsidRPr="004024BD" w:rsidRDefault="00EB07AB" w:rsidP="00EB07AB">
      <w:pPr>
        <w:spacing w:after="0" w:line="240" w:lineRule="auto"/>
        <w:jc w:val="both"/>
        <w:rPr>
          <w:rFonts w:ascii="Arial" w:hAnsi="Arial" w:cs="Arial"/>
          <w:sz w:val="24"/>
          <w:szCs w:val="24"/>
          <w:lang w:val="mn-MN"/>
        </w:rPr>
      </w:pPr>
      <w:r w:rsidRPr="004024BD">
        <w:rPr>
          <w:rFonts w:ascii="Arial" w:hAnsi="Arial" w:cs="Arial"/>
          <w:sz w:val="24"/>
          <w:szCs w:val="24"/>
          <w:lang w:val="mn-MN"/>
        </w:rPr>
        <w:tab/>
        <w:t>АНУ-д инфляц 2022 оны 03 дугаар сард сүүлийн 40 жилийн хамгийн дээд түвшиндээ хүрсний улмаас тус улсын Төв банкнаас урт хугацаан дахь бодлогын хүүгийн түвшинг 2 хувь болгох талаар мэдэгдэл хийгээд байна. Ийнхүү АНУ-ын бодлогын хүү өсөх нь Засгийн газрын өрийн багцад эзлэх хувьсах хүүгийн зардлыг өсгөх эрсдэлийг нэмэгдүүлж, энэ нь тус зээлүүдийг тогтмол хүүтэй болгоход том нөлөөтэй болох юм. Иймд хувьсах хүүтэй зээлийн үлдэгдэл буурснаар тус үзүүлэлт өсөх магадлалтай болж байна.</w:t>
      </w:r>
    </w:p>
    <w:p w14:paraId="08F546DF" w14:textId="77777777" w:rsidR="00EB07AB" w:rsidRPr="004024BD" w:rsidRDefault="00EB07AB" w:rsidP="00EB07AB">
      <w:pPr>
        <w:spacing w:after="0" w:line="240" w:lineRule="auto"/>
        <w:jc w:val="both"/>
        <w:rPr>
          <w:rFonts w:ascii="Arial" w:hAnsi="Arial" w:cs="Arial"/>
          <w:sz w:val="24"/>
          <w:szCs w:val="24"/>
          <w:lang w:val="mn-MN"/>
        </w:rPr>
      </w:pPr>
    </w:p>
    <w:p w14:paraId="44AC7C14" w14:textId="77777777" w:rsidR="00EB07AB" w:rsidRPr="004024BD" w:rsidRDefault="00EB07AB" w:rsidP="00EB07AB">
      <w:pPr>
        <w:spacing w:after="0" w:line="240" w:lineRule="auto"/>
        <w:ind w:firstLine="720"/>
        <w:jc w:val="both"/>
        <w:rPr>
          <w:rFonts w:ascii="Arial" w:hAnsi="Arial" w:cs="Arial"/>
          <w:b/>
          <w:sz w:val="24"/>
          <w:szCs w:val="24"/>
          <w:lang w:val="mn-MN"/>
        </w:rPr>
      </w:pPr>
      <w:r w:rsidRPr="004024BD">
        <w:rPr>
          <w:rFonts w:ascii="Arial" w:hAnsi="Arial" w:cs="Arial"/>
          <w:b/>
          <w:sz w:val="24"/>
          <w:szCs w:val="24"/>
          <w:lang w:val="mn-MN"/>
        </w:rPr>
        <w:t>5.2.3.Валютын ханшийн эрсдэл</w:t>
      </w:r>
    </w:p>
    <w:p w14:paraId="2820E568" w14:textId="77777777" w:rsidR="00EB07AB" w:rsidRPr="004024BD" w:rsidRDefault="00EB07AB" w:rsidP="00EB07AB">
      <w:pPr>
        <w:spacing w:after="0" w:line="240" w:lineRule="auto"/>
        <w:ind w:firstLine="720"/>
        <w:jc w:val="both"/>
        <w:rPr>
          <w:sz w:val="24"/>
          <w:szCs w:val="24"/>
          <w:lang w:val="mn-MN"/>
        </w:rPr>
      </w:pPr>
    </w:p>
    <w:p w14:paraId="110D8DF7"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Өрийн багцыг валютын бүтцээр харвал Засгийн газрын өрийн 63 хувь нь ам.доллар, 17 хувь нь зээлжих тусгай эрх, 15 хувь нь иен, 3 хувь нь евро, 2 хувь нь бусад валютаас бүрдсэн байна.</w:t>
      </w:r>
    </w:p>
    <w:p w14:paraId="500C05A3" w14:textId="77777777" w:rsidR="00EB07AB" w:rsidRPr="004024BD" w:rsidRDefault="00EB07AB" w:rsidP="00EB07AB">
      <w:pPr>
        <w:pStyle w:val="Caption"/>
        <w:keepNext/>
        <w:spacing w:after="0"/>
        <w:ind w:firstLine="720"/>
        <w:rPr>
          <w:rFonts w:ascii="Arial" w:hAnsi="Arial" w:cs="Arial"/>
          <w:color w:val="auto"/>
          <w:sz w:val="22"/>
          <w:szCs w:val="22"/>
          <w:lang w:val="mn-MN"/>
        </w:rPr>
      </w:pPr>
      <w:r w:rsidRPr="004024BD">
        <w:rPr>
          <w:rFonts w:ascii="Arial" w:hAnsi="Arial" w:cs="Arial"/>
          <w:color w:val="auto"/>
          <w:sz w:val="22"/>
          <w:szCs w:val="22"/>
          <w:lang w:val="mn-MN"/>
        </w:rPr>
        <w:lastRenderedPageBreak/>
        <w:t xml:space="preserve">График №8: Гадаад валютаар илэрхийлэгдсэн өр, валютын бүтцээр, </w:t>
      </w:r>
    </w:p>
    <w:p w14:paraId="78410DEF" w14:textId="77777777" w:rsidR="00EB07AB" w:rsidRPr="004024BD" w:rsidRDefault="00EB07AB" w:rsidP="00EB07AB">
      <w:pPr>
        <w:pStyle w:val="Caption"/>
        <w:keepNext/>
        <w:spacing w:after="0"/>
        <w:ind w:left="7200" w:firstLine="720"/>
        <w:rPr>
          <w:rFonts w:ascii="Arial" w:hAnsi="Arial" w:cs="Arial"/>
          <w:color w:val="auto"/>
          <w:sz w:val="22"/>
          <w:szCs w:val="22"/>
          <w:lang w:val="mn-MN"/>
        </w:rPr>
      </w:pPr>
      <w:r w:rsidRPr="004024BD">
        <w:rPr>
          <w:rFonts w:ascii="Arial" w:hAnsi="Arial" w:cs="Arial"/>
          <w:color w:val="auto"/>
          <w:sz w:val="22"/>
          <w:szCs w:val="22"/>
          <w:lang w:val="mn-MN"/>
        </w:rPr>
        <w:t>2021.12.31</w:t>
      </w:r>
    </w:p>
    <w:p w14:paraId="72C09437" w14:textId="77777777" w:rsidR="00EB07AB" w:rsidRPr="004024BD" w:rsidRDefault="00EB07AB" w:rsidP="00EB07AB">
      <w:pPr>
        <w:pStyle w:val="Caption"/>
        <w:keepNext/>
        <w:spacing w:after="0"/>
        <w:ind w:left="1440"/>
        <w:rPr>
          <w:rFonts w:ascii="Arial" w:hAnsi="Arial" w:cs="Arial"/>
          <w:color w:val="auto"/>
          <w:sz w:val="22"/>
          <w:szCs w:val="22"/>
          <w:lang w:val="mn-MN"/>
        </w:rPr>
      </w:pPr>
      <w:r w:rsidRPr="004024BD">
        <w:rPr>
          <w:rFonts w:ascii="Arial" w:hAnsi="Arial" w:cs="Arial"/>
          <w:color w:val="auto"/>
          <w:sz w:val="22"/>
          <w:szCs w:val="22"/>
          <w:lang w:val="mn-MN"/>
        </w:rPr>
        <w:t xml:space="preserve">                                                            </w:t>
      </w:r>
      <w:r w:rsidRPr="004024BD">
        <w:rPr>
          <w:rFonts w:ascii="Arial" w:hAnsi="Arial" w:cs="Arial"/>
          <w:color w:val="auto"/>
          <w:sz w:val="22"/>
          <w:szCs w:val="22"/>
          <w:lang w:val="mn-MN"/>
        </w:rPr>
        <w:tab/>
      </w:r>
      <w:r w:rsidRPr="004024BD">
        <w:rPr>
          <w:rFonts w:ascii="Arial" w:hAnsi="Arial" w:cs="Arial"/>
          <w:color w:val="auto"/>
          <w:sz w:val="22"/>
          <w:szCs w:val="22"/>
          <w:lang w:val="mn-MN"/>
        </w:rPr>
        <w:tab/>
      </w:r>
      <w:r w:rsidRPr="004024BD">
        <w:rPr>
          <w:rFonts w:ascii="Arial" w:hAnsi="Arial" w:cs="Arial"/>
          <w:color w:val="auto"/>
          <w:sz w:val="22"/>
          <w:szCs w:val="22"/>
          <w:lang w:val="mn-MN"/>
        </w:rPr>
        <w:tab/>
      </w:r>
      <w:r w:rsidRPr="004024BD">
        <w:rPr>
          <w:rFonts w:ascii="Arial" w:hAnsi="Arial" w:cs="Arial"/>
          <w:color w:val="auto"/>
          <w:sz w:val="22"/>
          <w:szCs w:val="22"/>
          <w:lang w:val="mn-MN"/>
        </w:rPr>
        <w:tab/>
      </w:r>
      <w:r w:rsidRPr="004024BD">
        <w:rPr>
          <w:rFonts w:ascii="Arial" w:hAnsi="Arial" w:cs="Arial"/>
          <w:color w:val="auto"/>
          <w:sz w:val="22"/>
          <w:szCs w:val="22"/>
          <w:lang w:val="mn-MN"/>
        </w:rPr>
        <w:tab/>
      </w:r>
    </w:p>
    <w:p w14:paraId="6102EEB3" w14:textId="77777777" w:rsidR="00EB07AB" w:rsidRPr="004024BD" w:rsidRDefault="00EB07AB" w:rsidP="00EB07AB">
      <w:pPr>
        <w:pStyle w:val="Caption"/>
        <w:keepNext/>
        <w:spacing w:after="0"/>
        <w:jc w:val="center"/>
        <w:rPr>
          <w:rFonts w:ascii="Arial" w:hAnsi="Arial" w:cs="Arial"/>
          <w:b/>
          <w:i w:val="0"/>
          <w:color w:val="000000" w:themeColor="text1"/>
          <w:sz w:val="22"/>
          <w:szCs w:val="22"/>
          <w:lang w:val="mn-MN"/>
        </w:rPr>
      </w:pPr>
      <w:r w:rsidRPr="004024BD">
        <w:rPr>
          <w:rFonts w:ascii="Arial" w:hAnsi="Arial" w:cs="Arial"/>
          <w:b/>
          <w:noProof/>
          <w:color w:val="000000" w:themeColor="text1"/>
          <w:sz w:val="22"/>
          <w:szCs w:val="22"/>
          <w:lang w:val="mn-MN"/>
        </w:rPr>
        <w:drawing>
          <wp:inline distT="0" distB="0" distL="0" distR="0" wp14:anchorId="20718B65" wp14:editId="3EFD5A0A">
            <wp:extent cx="2669706" cy="228611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8C3872" w14:textId="77777777" w:rsidR="00EB07AB" w:rsidRPr="004024BD" w:rsidRDefault="00EB07AB" w:rsidP="00EB07AB">
      <w:pPr>
        <w:pStyle w:val="ListParagraph"/>
        <w:spacing w:before="240" w:after="0"/>
        <w:ind w:left="5760" w:firstLine="720"/>
        <w:jc w:val="both"/>
        <w:rPr>
          <w:rFonts w:ascii="Arial" w:hAnsi="Arial" w:cs="Arial"/>
          <w:i/>
          <w:lang w:val="mn-MN"/>
        </w:rPr>
      </w:pPr>
      <w:r w:rsidRPr="004024BD">
        <w:rPr>
          <w:rFonts w:ascii="Arial" w:hAnsi="Arial" w:cs="Arial"/>
          <w:i/>
          <w:lang w:val="mn-MN"/>
        </w:rPr>
        <w:t>Эх сурвалж: Сангийн яам</w:t>
      </w:r>
    </w:p>
    <w:p w14:paraId="465E4B13" w14:textId="77777777" w:rsidR="00EB07AB" w:rsidRPr="004024BD" w:rsidRDefault="00EB07AB" w:rsidP="00EB07AB">
      <w:pPr>
        <w:pStyle w:val="ListParagraph"/>
        <w:spacing w:before="240" w:after="0"/>
        <w:ind w:left="5760" w:firstLine="720"/>
        <w:jc w:val="both"/>
        <w:rPr>
          <w:rFonts w:ascii="Arial" w:hAnsi="Arial" w:cs="Arial"/>
          <w:lang w:val="mn-MN"/>
        </w:rPr>
      </w:pPr>
    </w:p>
    <w:p w14:paraId="2A72F3B1" w14:textId="77777777" w:rsidR="00EB07AB" w:rsidRPr="004024BD" w:rsidRDefault="00EB07AB" w:rsidP="00EB07AB">
      <w:pPr>
        <w:pStyle w:val="Caption"/>
        <w:keepNext/>
        <w:spacing w:after="0"/>
        <w:jc w:val="both"/>
        <w:rPr>
          <w:rFonts w:ascii="Arial" w:hAnsi="Arial" w:cs="Arial"/>
          <w:sz w:val="24"/>
          <w:szCs w:val="24"/>
          <w:lang w:val="mn-MN"/>
        </w:rPr>
      </w:pPr>
      <w:r w:rsidRPr="004024BD">
        <w:rPr>
          <w:rFonts w:ascii="Arial" w:hAnsi="Arial" w:cs="Arial"/>
          <w:color w:val="000000" w:themeColor="text1"/>
          <w:sz w:val="22"/>
          <w:szCs w:val="22"/>
          <w:lang w:val="mn-MN"/>
        </w:rPr>
        <w:tab/>
      </w:r>
      <w:r w:rsidRPr="004024BD">
        <w:rPr>
          <w:rFonts w:ascii="Arial" w:hAnsi="Arial" w:cs="Arial"/>
          <w:i w:val="0"/>
          <w:color w:val="000000" w:themeColor="text1"/>
          <w:sz w:val="24"/>
          <w:szCs w:val="24"/>
          <w:lang w:val="mn-MN"/>
        </w:rPr>
        <w:t>Засгийн газрын өрийн багцын гадаад валютаар илэрхийлэгдсэн өрийн хэмжээ 2021 оны байдлаар 97.5 хувийг эзэлж байна. Энэ нь Засгийн газрын дотоод үнэт цаас 2017 оноос хойш арилжаалаагүй, мөн гадаад зээл ашиглалт болон валютын ханшийн өсөлтөөс шалтгаалж байна.</w:t>
      </w:r>
      <w:r w:rsidRPr="004024BD">
        <w:rPr>
          <w:rFonts w:ascii="Arial" w:hAnsi="Arial" w:cs="Arial"/>
          <w:sz w:val="24"/>
          <w:szCs w:val="24"/>
          <w:lang w:val="mn-MN"/>
        </w:rPr>
        <w:tab/>
      </w:r>
    </w:p>
    <w:p w14:paraId="16FB9456" w14:textId="77777777" w:rsidR="00EB07AB" w:rsidRPr="004024BD" w:rsidRDefault="00EB07AB" w:rsidP="00EB07AB">
      <w:pPr>
        <w:spacing w:after="0" w:line="240" w:lineRule="auto"/>
        <w:rPr>
          <w:lang w:val="mn-MN"/>
        </w:rPr>
      </w:pPr>
    </w:p>
    <w:p w14:paraId="4C766236" w14:textId="77777777" w:rsidR="00EB07AB" w:rsidRPr="004024BD" w:rsidRDefault="00EB07AB" w:rsidP="00EB07AB">
      <w:pPr>
        <w:pStyle w:val="Heading2"/>
        <w:ind w:left="540" w:hanging="360"/>
        <w:rPr>
          <w:szCs w:val="24"/>
        </w:rPr>
      </w:pPr>
      <w:r w:rsidRPr="004024BD">
        <w:rPr>
          <w:szCs w:val="24"/>
        </w:rPr>
        <w:tab/>
      </w:r>
      <w:r w:rsidRPr="004024BD">
        <w:rPr>
          <w:szCs w:val="24"/>
        </w:rPr>
        <w:tab/>
      </w:r>
      <w:r w:rsidRPr="004024BD">
        <w:rPr>
          <w:szCs w:val="24"/>
        </w:rPr>
        <w:tab/>
        <w:t>5.3.Зардал эрсдэлийн шинжилгээ</w:t>
      </w:r>
    </w:p>
    <w:p w14:paraId="74A28995" w14:textId="77777777" w:rsidR="00EB07AB" w:rsidRPr="004024BD" w:rsidRDefault="00EB07AB" w:rsidP="00EB07AB">
      <w:pPr>
        <w:spacing w:after="0" w:line="240" w:lineRule="auto"/>
        <w:rPr>
          <w:sz w:val="24"/>
          <w:szCs w:val="24"/>
          <w:lang w:val="mn-MN"/>
        </w:rPr>
      </w:pPr>
    </w:p>
    <w:p w14:paraId="1A84FC69"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ab/>
        <w:t>Дунд хугацааны өрийн стратегийн зардал, эрсдэлийн шинжилгээнд Дэлхийн банк, ОУВС-ийн хамтран боловсруулсан өрийн удирдлагын дунд хугацааны стратегийн шинжилгээний загварыг ашигласан бөгөөд уг загварт Засгийн газрын өрийн хэрэгслүүдийг дараах байдлаар багцаллаа:</w:t>
      </w:r>
    </w:p>
    <w:p w14:paraId="7AD4158B" w14:textId="77777777" w:rsidR="00EB07AB" w:rsidRPr="004024BD" w:rsidRDefault="00EB07AB" w:rsidP="00EB07AB">
      <w:pPr>
        <w:pStyle w:val="NoSpacing"/>
        <w:spacing w:after="0" w:line="240" w:lineRule="auto"/>
        <w:rPr>
          <w:rFonts w:ascii="Arial" w:hAnsi="Arial" w:cs="Arial"/>
          <w:sz w:val="24"/>
          <w:szCs w:val="24"/>
        </w:rPr>
      </w:pPr>
    </w:p>
    <w:p w14:paraId="354B67B0" w14:textId="77777777" w:rsidR="00EB07AB" w:rsidRPr="004024BD" w:rsidRDefault="00EB07AB" w:rsidP="00EB07AB">
      <w:pPr>
        <w:pStyle w:val="NoSpacing"/>
        <w:spacing w:after="0" w:line="240" w:lineRule="auto"/>
        <w:rPr>
          <w:rFonts w:ascii="Arial" w:hAnsi="Arial" w:cs="Arial"/>
          <w:i/>
        </w:rPr>
      </w:pPr>
      <w:r w:rsidRPr="004024BD">
        <w:rPr>
          <w:rFonts w:ascii="Arial" w:hAnsi="Arial" w:cs="Arial"/>
          <w:i/>
        </w:rPr>
        <w:t xml:space="preserve"> Хүснэгт №10 Засгийн газрын өрийн хэрэгслүүдийн багц</w:t>
      </w:r>
    </w:p>
    <w:p w14:paraId="28D59DE3" w14:textId="77777777" w:rsidR="00EB07AB" w:rsidRPr="004024BD" w:rsidRDefault="00EB07AB" w:rsidP="00EB07AB">
      <w:pPr>
        <w:pStyle w:val="NoSpacing"/>
        <w:spacing w:line="240" w:lineRule="auto"/>
        <w:rPr>
          <w:rFonts w:ascii="Arial" w:hAnsi="Arial" w:cs="Arial"/>
        </w:rPr>
        <w:sectPr w:rsidR="00EB07AB" w:rsidRPr="004024BD" w:rsidSect="002A2F8C">
          <w:type w:val="continuous"/>
          <w:pgSz w:w="11906" w:h="16838" w:code="9"/>
          <w:pgMar w:top="1134" w:right="851" w:bottom="851" w:left="1247" w:header="720" w:footer="720" w:gutter="0"/>
          <w:pgNumType w:start="0"/>
          <w:cols w:space="720"/>
          <w:titlePg/>
          <w:docGrid w:linePitch="360"/>
        </w:sectPr>
      </w:pPr>
    </w:p>
    <w:tbl>
      <w:tblPr>
        <w:tblW w:w="9781" w:type="dxa"/>
        <w:tblInd w:w="-5" w:type="dxa"/>
        <w:tblLook w:val="04A0" w:firstRow="1" w:lastRow="0" w:firstColumn="1" w:lastColumn="0" w:noHBand="0" w:noVBand="1"/>
      </w:tblPr>
      <w:tblGrid>
        <w:gridCol w:w="1343"/>
        <w:gridCol w:w="2437"/>
        <w:gridCol w:w="991"/>
        <w:gridCol w:w="1080"/>
        <w:gridCol w:w="1530"/>
        <w:gridCol w:w="1260"/>
        <w:gridCol w:w="1140"/>
      </w:tblGrid>
      <w:tr w:rsidR="00EB07AB" w:rsidRPr="004024BD" w14:paraId="03880862" w14:textId="77777777" w:rsidTr="00FD3D1D">
        <w:trPr>
          <w:trHeight w:val="719"/>
        </w:trPr>
        <w:tc>
          <w:tcPr>
            <w:tcW w:w="13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6C3DD" w14:textId="77777777" w:rsidR="00EB07AB" w:rsidRPr="004024BD" w:rsidRDefault="00EB07AB" w:rsidP="00FD3D1D">
            <w:pPr>
              <w:spacing w:after="0" w:line="240" w:lineRule="auto"/>
              <w:jc w:val="center"/>
              <w:rPr>
                <w:rFonts w:ascii="Arial" w:eastAsia="Times New Roman" w:hAnsi="Arial" w:cs="Arial"/>
                <w:b/>
                <w:sz w:val="20"/>
                <w:szCs w:val="20"/>
                <w:lang w:val="mn-MN"/>
              </w:rPr>
            </w:pPr>
            <w:r w:rsidRPr="004024BD">
              <w:rPr>
                <w:rFonts w:ascii="Arial" w:eastAsia="Times New Roman" w:hAnsi="Arial" w:cs="Arial"/>
                <w:b/>
                <w:sz w:val="20"/>
                <w:szCs w:val="20"/>
                <w:lang w:val="mn-MN"/>
              </w:rPr>
              <w:t>Төрөл</w:t>
            </w:r>
          </w:p>
        </w:tc>
        <w:tc>
          <w:tcPr>
            <w:tcW w:w="2437" w:type="dxa"/>
            <w:tcBorders>
              <w:top w:val="single" w:sz="4" w:space="0" w:color="auto"/>
              <w:left w:val="nil"/>
              <w:bottom w:val="single" w:sz="4" w:space="0" w:color="auto"/>
              <w:right w:val="single" w:sz="4" w:space="0" w:color="auto"/>
            </w:tcBorders>
            <w:shd w:val="clear" w:color="000000" w:fill="D9D9D9"/>
            <w:vAlign w:val="center"/>
            <w:hideMark/>
          </w:tcPr>
          <w:p w14:paraId="5264CA2E" w14:textId="77777777" w:rsidR="00EB07AB" w:rsidRPr="004024BD" w:rsidRDefault="00EB07AB" w:rsidP="00FD3D1D">
            <w:pPr>
              <w:spacing w:after="0" w:line="240" w:lineRule="auto"/>
              <w:jc w:val="center"/>
              <w:rPr>
                <w:rFonts w:ascii="Arial" w:eastAsia="Times New Roman" w:hAnsi="Arial" w:cs="Arial"/>
                <w:b/>
                <w:sz w:val="20"/>
                <w:szCs w:val="20"/>
                <w:lang w:val="mn-MN"/>
              </w:rPr>
            </w:pPr>
            <w:r w:rsidRPr="004024BD">
              <w:rPr>
                <w:rFonts w:ascii="Arial" w:eastAsia="Times New Roman" w:hAnsi="Arial" w:cs="Arial"/>
                <w:b/>
                <w:sz w:val="20"/>
                <w:szCs w:val="20"/>
                <w:lang w:val="mn-MN"/>
              </w:rPr>
              <w:t>Ангилал / нэр</w:t>
            </w:r>
          </w:p>
        </w:tc>
        <w:tc>
          <w:tcPr>
            <w:tcW w:w="991" w:type="dxa"/>
            <w:tcBorders>
              <w:top w:val="single" w:sz="4" w:space="0" w:color="auto"/>
              <w:left w:val="nil"/>
              <w:bottom w:val="single" w:sz="4" w:space="0" w:color="auto"/>
              <w:right w:val="single" w:sz="4" w:space="0" w:color="auto"/>
            </w:tcBorders>
            <w:shd w:val="clear" w:color="000000" w:fill="D9D9D9"/>
            <w:vAlign w:val="center"/>
            <w:hideMark/>
          </w:tcPr>
          <w:p w14:paraId="7FAD18D4" w14:textId="77777777" w:rsidR="00EB07AB" w:rsidRPr="004024BD" w:rsidRDefault="00EB07AB" w:rsidP="00FD3D1D">
            <w:pPr>
              <w:spacing w:after="0" w:line="240" w:lineRule="auto"/>
              <w:jc w:val="center"/>
              <w:rPr>
                <w:rFonts w:ascii="Arial" w:eastAsia="Times New Roman" w:hAnsi="Arial" w:cs="Arial"/>
                <w:b/>
                <w:sz w:val="20"/>
                <w:szCs w:val="20"/>
                <w:lang w:val="mn-MN"/>
              </w:rPr>
            </w:pPr>
            <w:r w:rsidRPr="004024BD">
              <w:rPr>
                <w:rFonts w:ascii="Arial" w:eastAsia="Times New Roman" w:hAnsi="Arial" w:cs="Arial"/>
                <w:b/>
                <w:sz w:val="20"/>
                <w:szCs w:val="20"/>
                <w:lang w:val="mn-MN"/>
              </w:rPr>
              <w:t>Fix</w:t>
            </w:r>
            <w:r w:rsidRPr="004024BD">
              <w:rPr>
                <w:rStyle w:val="FootnoteReference"/>
                <w:rFonts w:ascii="Arial" w:eastAsia="Times New Roman" w:hAnsi="Arial" w:cs="Arial"/>
                <w:b/>
                <w:lang w:val="mn-MN"/>
              </w:rPr>
              <w:footnoteReference w:id="7"/>
            </w:r>
            <w:r w:rsidRPr="004024BD">
              <w:rPr>
                <w:rFonts w:ascii="Arial" w:eastAsia="Times New Roman" w:hAnsi="Arial" w:cs="Arial"/>
                <w:b/>
                <w:sz w:val="20"/>
                <w:szCs w:val="20"/>
                <w:lang w:val="mn-MN"/>
              </w:rPr>
              <w:t xml:space="preserve"> / Var</w:t>
            </w:r>
            <w:r w:rsidRPr="004024BD">
              <w:rPr>
                <w:rStyle w:val="FootnoteReference"/>
                <w:rFonts w:ascii="Arial" w:eastAsia="Times New Roman" w:hAnsi="Arial" w:cs="Arial"/>
                <w:b/>
                <w:lang w:val="mn-MN"/>
              </w:rPr>
              <w:footnoteReference w:id="8"/>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2E9E8037" w14:textId="77777777" w:rsidR="00EB07AB" w:rsidRPr="004024BD" w:rsidRDefault="00EB07AB" w:rsidP="00FD3D1D">
            <w:pPr>
              <w:spacing w:after="0" w:line="240" w:lineRule="auto"/>
              <w:jc w:val="center"/>
              <w:rPr>
                <w:rFonts w:ascii="Arial" w:eastAsia="Times New Roman" w:hAnsi="Arial" w:cs="Arial"/>
                <w:b/>
                <w:sz w:val="20"/>
                <w:szCs w:val="20"/>
                <w:lang w:val="mn-MN"/>
              </w:rPr>
            </w:pPr>
            <w:r w:rsidRPr="004024BD">
              <w:rPr>
                <w:rFonts w:ascii="Arial" w:eastAsia="Times New Roman" w:hAnsi="Arial" w:cs="Arial"/>
                <w:b/>
                <w:sz w:val="20"/>
                <w:szCs w:val="20"/>
                <w:lang w:val="mn-MN"/>
              </w:rPr>
              <w:t>Хугацаа /жил/</w:t>
            </w:r>
          </w:p>
        </w:tc>
        <w:tc>
          <w:tcPr>
            <w:tcW w:w="1530" w:type="dxa"/>
            <w:tcBorders>
              <w:top w:val="single" w:sz="4" w:space="0" w:color="auto"/>
              <w:left w:val="nil"/>
              <w:bottom w:val="single" w:sz="4" w:space="0" w:color="auto"/>
              <w:right w:val="single" w:sz="4" w:space="0" w:color="auto"/>
            </w:tcBorders>
            <w:shd w:val="clear" w:color="000000" w:fill="D9D9D9"/>
            <w:vAlign w:val="center"/>
            <w:hideMark/>
          </w:tcPr>
          <w:p w14:paraId="11A999EC" w14:textId="77777777" w:rsidR="00EB07AB" w:rsidRPr="004024BD" w:rsidRDefault="00EB07AB" w:rsidP="00FD3D1D">
            <w:pPr>
              <w:spacing w:after="0" w:line="240" w:lineRule="auto"/>
              <w:jc w:val="center"/>
              <w:rPr>
                <w:rFonts w:ascii="Arial" w:eastAsia="Times New Roman" w:hAnsi="Arial" w:cs="Arial"/>
                <w:b/>
                <w:sz w:val="20"/>
                <w:szCs w:val="20"/>
                <w:lang w:val="mn-MN"/>
              </w:rPr>
            </w:pPr>
            <w:r w:rsidRPr="004024BD">
              <w:rPr>
                <w:rFonts w:ascii="Arial" w:eastAsia="Times New Roman" w:hAnsi="Arial" w:cs="Arial"/>
                <w:b/>
                <w:sz w:val="20"/>
                <w:szCs w:val="20"/>
                <w:lang w:val="mn-MN"/>
              </w:rPr>
              <w:t>Үндсэн төлбөрөөс чөлөөлөгдөх хугацаа /жил/</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3282A157" w14:textId="77777777" w:rsidR="00EB07AB" w:rsidRPr="004024BD" w:rsidRDefault="00EB07AB" w:rsidP="00FD3D1D">
            <w:pPr>
              <w:spacing w:after="0" w:line="240" w:lineRule="auto"/>
              <w:jc w:val="center"/>
              <w:rPr>
                <w:rFonts w:ascii="Arial" w:eastAsia="Times New Roman" w:hAnsi="Arial" w:cs="Arial"/>
                <w:b/>
                <w:sz w:val="20"/>
                <w:szCs w:val="20"/>
                <w:lang w:val="mn-MN"/>
              </w:rPr>
            </w:pPr>
            <w:r w:rsidRPr="004024BD">
              <w:rPr>
                <w:rFonts w:ascii="Arial" w:eastAsia="Times New Roman" w:hAnsi="Arial" w:cs="Arial"/>
                <w:b/>
                <w:sz w:val="20"/>
                <w:szCs w:val="20"/>
                <w:lang w:val="mn-MN"/>
              </w:rPr>
              <w:t>Валютын төрөл</w:t>
            </w:r>
          </w:p>
        </w:tc>
        <w:tc>
          <w:tcPr>
            <w:tcW w:w="1140" w:type="dxa"/>
            <w:tcBorders>
              <w:top w:val="single" w:sz="4" w:space="0" w:color="auto"/>
              <w:left w:val="nil"/>
              <w:bottom w:val="single" w:sz="4" w:space="0" w:color="auto"/>
              <w:right w:val="single" w:sz="4" w:space="0" w:color="auto"/>
            </w:tcBorders>
            <w:shd w:val="clear" w:color="000000" w:fill="D9D9D9"/>
            <w:vAlign w:val="center"/>
            <w:hideMark/>
          </w:tcPr>
          <w:p w14:paraId="58745FB2" w14:textId="77777777" w:rsidR="00EB07AB" w:rsidRPr="004024BD" w:rsidRDefault="00EB07AB" w:rsidP="00FD3D1D">
            <w:pPr>
              <w:spacing w:after="0" w:line="240" w:lineRule="auto"/>
              <w:jc w:val="center"/>
              <w:rPr>
                <w:rFonts w:ascii="Arial" w:eastAsia="Times New Roman" w:hAnsi="Arial" w:cs="Arial"/>
                <w:b/>
                <w:sz w:val="20"/>
                <w:szCs w:val="20"/>
                <w:lang w:val="mn-MN"/>
              </w:rPr>
            </w:pPr>
            <w:r w:rsidRPr="004024BD">
              <w:rPr>
                <w:rFonts w:ascii="Arial" w:eastAsia="Times New Roman" w:hAnsi="Arial" w:cs="Arial"/>
                <w:b/>
                <w:sz w:val="20"/>
                <w:szCs w:val="20"/>
                <w:lang w:val="mn-MN"/>
              </w:rPr>
              <w:t>Валют</w:t>
            </w:r>
          </w:p>
        </w:tc>
      </w:tr>
      <w:tr w:rsidR="00EB07AB" w:rsidRPr="004024BD" w14:paraId="6E053696" w14:textId="77777777" w:rsidTr="00FD3D1D">
        <w:trPr>
          <w:trHeight w:val="219"/>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14B64D7A"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USD_2</w:t>
            </w:r>
          </w:p>
        </w:tc>
        <w:tc>
          <w:tcPr>
            <w:tcW w:w="2437" w:type="dxa"/>
            <w:tcBorders>
              <w:top w:val="single" w:sz="4" w:space="0" w:color="auto"/>
              <w:left w:val="nil"/>
              <w:bottom w:val="single" w:sz="4" w:space="0" w:color="auto"/>
              <w:right w:val="single" w:sz="4" w:space="0" w:color="auto"/>
            </w:tcBorders>
            <w:shd w:val="clear" w:color="auto" w:fill="auto"/>
            <w:noWrap/>
            <w:vAlign w:val="center"/>
            <w:hideMark/>
          </w:tcPr>
          <w:p w14:paraId="30C70BCD"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ДБ/ХААХОУС</w:t>
            </w:r>
            <w:r w:rsidRPr="004024BD">
              <w:rPr>
                <w:rStyle w:val="FootnoteReference"/>
                <w:rFonts w:ascii="Arial" w:eastAsia="Times New Roman" w:hAnsi="Arial" w:cs="Arial"/>
                <w:color w:val="000000" w:themeColor="text1"/>
                <w:lang w:val="mn-MN"/>
              </w:rPr>
              <w:footnoteReference w:id="9"/>
            </w:r>
          </w:p>
        </w:tc>
        <w:tc>
          <w:tcPr>
            <w:tcW w:w="991" w:type="dxa"/>
            <w:tcBorders>
              <w:top w:val="nil"/>
              <w:left w:val="nil"/>
              <w:bottom w:val="single" w:sz="4" w:space="0" w:color="auto"/>
              <w:right w:val="single" w:sz="4" w:space="0" w:color="auto"/>
            </w:tcBorders>
            <w:shd w:val="clear" w:color="auto" w:fill="auto"/>
            <w:noWrap/>
            <w:vAlign w:val="center"/>
            <w:hideMark/>
          </w:tcPr>
          <w:p w14:paraId="5F1C8014"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тогтмол</w:t>
            </w:r>
          </w:p>
        </w:tc>
        <w:tc>
          <w:tcPr>
            <w:tcW w:w="1080" w:type="dxa"/>
            <w:tcBorders>
              <w:top w:val="nil"/>
              <w:left w:val="nil"/>
              <w:bottom w:val="single" w:sz="4" w:space="0" w:color="auto"/>
              <w:right w:val="single" w:sz="4" w:space="0" w:color="auto"/>
            </w:tcBorders>
            <w:shd w:val="clear" w:color="auto" w:fill="auto"/>
            <w:noWrap/>
            <w:vAlign w:val="center"/>
            <w:hideMark/>
          </w:tcPr>
          <w:p w14:paraId="636A597A"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25</w:t>
            </w:r>
          </w:p>
        </w:tc>
        <w:tc>
          <w:tcPr>
            <w:tcW w:w="1530" w:type="dxa"/>
            <w:tcBorders>
              <w:top w:val="nil"/>
              <w:left w:val="nil"/>
              <w:bottom w:val="single" w:sz="4" w:space="0" w:color="auto"/>
              <w:right w:val="single" w:sz="4" w:space="0" w:color="auto"/>
            </w:tcBorders>
            <w:shd w:val="clear" w:color="auto" w:fill="auto"/>
            <w:noWrap/>
            <w:vAlign w:val="center"/>
            <w:hideMark/>
          </w:tcPr>
          <w:p w14:paraId="01F791D7"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5</w:t>
            </w:r>
          </w:p>
        </w:tc>
        <w:tc>
          <w:tcPr>
            <w:tcW w:w="1260" w:type="dxa"/>
            <w:tcBorders>
              <w:top w:val="nil"/>
              <w:left w:val="nil"/>
              <w:bottom w:val="single" w:sz="4" w:space="0" w:color="auto"/>
              <w:right w:val="single" w:sz="4" w:space="0" w:color="auto"/>
            </w:tcBorders>
            <w:shd w:val="clear" w:color="auto" w:fill="auto"/>
            <w:noWrap/>
            <w:vAlign w:val="center"/>
            <w:hideMark/>
          </w:tcPr>
          <w:p w14:paraId="11A28388"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FX</w:t>
            </w:r>
          </w:p>
        </w:tc>
        <w:tc>
          <w:tcPr>
            <w:tcW w:w="1140" w:type="dxa"/>
            <w:tcBorders>
              <w:top w:val="nil"/>
              <w:left w:val="nil"/>
              <w:bottom w:val="single" w:sz="4" w:space="0" w:color="auto"/>
              <w:right w:val="single" w:sz="4" w:space="0" w:color="auto"/>
            </w:tcBorders>
            <w:shd w:val="clear" w:color="auto" w:fill="auto"/>
            <w:noWrap/>
            <w:vAlign w:val="center"/>
            <w:hideMark/>
          </w:tcPr>
          <w:p w14:paraId="229CA225"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USD</w:t>
            </w:r>
          </w:p>
        </w:tc>
      </w:tr>
      <w:tr w:rsidR="00EB07AB" w:rsidRPr="004024BD" w14:paraId="30D5B078" w14:textId="77777777" w:rsidTr="00FD3D1D">
        <w:trPr>
          <w:trHeight w:val="230"/>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590C0DD4"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USD_3</w:t>
            </w:r>
          </w:p>
        </w:tc>
        <w:tc>
          <w:tcPr>
            <w:tcW w:w="2437" w:type="dxa"/>
            <w:tcBorders>
              <w:top w:val="nil"/>
              <w:left w:val="nil"/>
              <w:bottom w:val="single" w:sz="4" w:space="0" w:color="auto"/>
              <w:right w:val="single" w:sz="4" w:space="0" w:color="auto"/>
            </w:tcBorders>
            <w:shd w:val="clear" w:color="auto" w:fill="auto"/>
            <w:noWrap/>
            <w:vAlign w:val="center"/>
            <w:hideMark/>
          </w:tcPr>
          <w:p w14:paraId="3E7B693D"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IBRD/АХБ</w:t>
            </w:r>
          </w:p>
        </w:tc>
        <w:tc>
          <w:tcPr>
            <w:tcW w:w="991" w:type="dxa"/>
            <w:tcBorders>
              <w:top w:val="nil"/>
              <w:left w:val="nil"/>
              <w:bottom w:val="single" w:sz="4" w:space="0" w:color="auto"/>
              <w:right w:val="single" w:sz="4" w:space="0" w:color="auto"/>
            </w:tcBorders>
            <w:shd w:val="clear" w:color="auto" w:fill="auto"/>
            <w:noWrap/>
            <w:vAlign w:val="center"/>
            <w:hideMark/>
          </w:tcPr>
          <w:p w14:paraId="1F81203B"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тогтмол</w:t>
            </w:r>
          </w:p>
        </w:tc>
        <w:tc>
          <w:tcPr>
            <w:tcW w:w="1080" w:type="dxa"/>
            <w:tcBorders>
              <w:top w:val="nil"/>
              <w:left w:val="nil"/>
              <w:bottom w:val="single" w:sz="4" w:space="0" w:color="auto"/>
              <w:right w:val="single" w:sz="4" w:space="0" w:color="auto"/>
            </w:tcBorders>
            <w:shd w:val="clear" w:color="auto" w:fill="auto"/>
            <w:noWrap/>
            <w:vAlign w:val="center"/>
            <w:hideMark/>
          </w:tcPr>
          <w:p w14:paraId="37BE2D75"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25</w:t>
            </w:r>
          </w:p>
        </w:tc>
        <w:tc>
          <w:tcPr>
            <w:tcW w:w="1530" w:type="dxa"/>
            <w:tcBorders>
              <w:top w:val="nil"/>
              <w:left w:val="nil"/>
              <w:bottom w:val="single" w:sz="4" w:space="0" w:color="auto"/>
              <w:right w:val="single" w:sz="4" w:space="0" w:color="auto"/>
            </w:tcBorders>
            <w:shd w:val="clear" w:color="auto" w:fill="auto"/>
            <w:noWrap/>
            <w:vAlign w:val="center"/>
            <w:hideMark/>
          </w:tcPr>
          <w:p w14:paraId="15E2B9EC"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5</w:t>
            </w:r>
          </w:p>
        </w:tc>
        <w:tc>
          <w:tcPr>
            <w:tcW w:w="1260" w:type="dxa"/>
            <w:tcBorders>
              <w:top w:val="nil"/>
              <w:left w:val="nil"/>
              <w:bottom w:val="single" w:sz="4" w:space="0" w:color="auto"/>
              <w:right w:val="single" w:sz="4" w:space="0" w:color="auto"/>
            </w:tcBorders>
            <w:shd w:val="clear" w:color="auto" w:fill="auto"/>
            <w:noWrap/>
            <w:vAlign w:val="center"/>
            <w:hideMark/>
          </w:tcPr>
          <w:p w14:paraId="36035319"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FX</w:t>
            </w:r>
          </w:p>
        </w:tc>
        <w:tc>
          <w:tcPr>
            <w:tcW w:w="1140" w:type="dxa"/>
            <w:tcBorders>
              <w:top w:val="nil"/>
              <w:left w:val="nil"/>
              <w:bottom w:val="single" w:sz="4" w:space="0" w:color="auto"/>
              <w:right w:val="single" w:sz="4" w:space="0" w:color="auto"/>
            </w:tcBorders>
            <w:shd w:val="clear" w:color="auto" w:fill="auto"/>
            <w:noWrap/>
            <w:vAlign w:val="center"/>
            <w:hideMark/>
          </w:tcPr>
          <w:p w14:paraId="3897C10C"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USD</w:t>
            </w:r>
          </w:p>
        </w:tc>
      </w:tr>
      <w:tr w:rsidR="00EB07AB" w:rsidRPr="004024BD" w14:paraId="4D74B4A6" w14:textId="77777777" w:rsidTr="00FD3D1D">
        <w:trPr>
          <w:trHeight w:val="219"/>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10DFAD89"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USD_4</w:t>
            </w:r>
          </w:p>
        </w:tc>
        <w:tc>
          <w:tcPr>
            <w:tcW w:w="2437" w:type="dxa"/>
            <w:tcBorders>
              <w:top w:val="nil"/>
              <w:left w:val="nil"/>
              <w:bottom w:val="single" w:sz="4" w:space="0" w:color="auto"/>
              <w:right w:val="single" w:sz="4" w:space="0" w:color="auto"/>
            </w:tcBorders>
            <w:shd w:val="clear" w:color="auto" w:fill="auto"/>
            <w:noWrap/>
            <w:vAlign w:val="center"/>
            <w:hideMark/>
          </w:tcPr>
          <w:p w14:paraId="70110E40"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IBRD/АХБ</w:t>
            </w:r>
          </w:p>
        </w:tc>
        <w:tc>
          <w:tcPr>
            <w:tcW w:w="991" w:type="dxa"/>
            <w:tcBorders>
              <w:top w:val="nil"/>
              <w:left w:val="nil"/>
              <w:bottom w:val="single" w:sz="4" w:space="0" w:color="auto"/>
              <w:right w:val="single" w:sz="4" w:space="0" w:color="auto"/>
            </w:tcBorders>
            <w:shd w:val="clear" w:color="auto" w:fill="auto"/>
            <w:noWrap/>
            <w:vAlign w:val="center"/>
            <w:hideMark/>
          </w:tcPr>
          <w:p w14:paraId="595C90E7"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хувьсах</w:t>
            </w:r>
          </w:p>
        </w:tc>
        <w:tc>
          <w:tcPr>
            <w:tcW w:w="1080" w:type="dxa"/>
            <w:tcBorders>
              <w:top w:val="nil"/>
              <w:left w:val="nil"/>
              <w:bottom w:val="single" w:sz="4" w:space="0" w:color="auto"/>
              <w:right w:val="single" w:sz="4" w:space="0" w:color="auto"/>
            </w:tcBorders>
            <w:shd w:val="clear" w:color="auto" w:fill="auto"/>
            <w:noWrap/>
            <w:vAlign w:val="center"/>
            <w:hideMark/>
          </w:tcPr>
          <w:p w14:paraId="4F2FDE3C"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25</w:t>
            </w:r>
          </w:p>
        </w:tc>
        <w:tc>
          <w:tcPr>
            <w:tcW w:w="1530" w:type="dxa"/>
            <w:tcBorders>
              <w:top w:val="nil"/>
              <w:left w:val="nil"/>
              <w:bottom w:val="single" w:sz="4" w:space="0" w:color="auto"/>
              <w:right w:val="single" w:sz="4" w:space="0" w:color="auto"/>
            </w:tcBorders>
            <w:shd w:val="clear" w:color="auto" w:fill="auto"/>
            <w:noWrap/>
            <w:vAlign w:val="center"/>
            <w:hideMark/>
          </w:tcPr>
          <w:p w14:paraId="7A6D8859"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5</w:t>
            </w:r>
          </w:p>
        </w:tc>
        <w:tc>
          <w:tcPr>
            <w:tcW w:w="1260" w:type="dxa"/>
            <w:tcBorders>
              <w:top w:val="nil"/>
              <w:left w:val="nil"/>
              <w:bottom w:val="single" w:sz="4" w:space="0" w:color="auto"/>
              <w:right w:val="single" w:sz="4" w:space="0" w:color="auto"/>
            </w:tcBorders>
            <w:shd w:val="clear" w:color="auto" w:fill="auto"/>
            <w:noWrap/>
            <w:vAlign w:val="center"/>
            <w:hideMark/>
          </w:tcPr>
          <w:p w14:paraId="5714B564"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FX</w:t>
            </w:r>
          </w:p>
        </w:tc>
        <w:tc>
          <w:tcPr>
            <w:tcW w:w="1140" w:type="dxa"/>
            <w:tcBorders>
              <w:top w:val="nil"/>
              <w:left w:val="nil"/>
              <w:bottom w:val="single" w:sz="4" w:space="0" w:color="auto"/>
              <w:right w:val="single" w:sz="4" w:space="0" w:color="auto"/>
            </w:tcBorders>
            <w:shd w:val="clear" w:color="auto" w:fill="auto"/>
            <w:noWrap/>
            <w:vAlign w:val="center"/>
            <w:hideMark/>
          </w:tcPr>
          <w:p w14:paraId="507FAF4B"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USD</w:t>
            </w:r>
          </w:p>
        </w:tc>
      </w:tr>
      <w:tr w:rsidR="00EB07AB" w:rsidRPr="004024BD" w14:paraId="4ABCDDC1" w14:textId="77777777" w:rsidTr="00FD3D1D">
        <w:trPr>
          <w:trHeight w:val="219"/>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11432D6F"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USD_5</w:t>
            </w:r>
          </w:p>
        </w:tc>
        <w:tc>
          <w:tcPr>
            <w:tcW w:w="2437" w:type="dxa"/>
            <w:tcBorders>
              <w:top w:val="nil"/>
              <w:left w:val="nil"/>
              <w:bottom w:val="single" w:sz="4" w:space="0" w:color="auto"/>
              <w:right w:val="single" w:sz="4" w:space="0" w:color="auto"/>
            </w:tcBorders>
            <w:shd w:val="clear" w:color="auto" w:fill="auto"/>
            <w:noWrap/>
            <w:vAlign w:val="center"/>
            <w:hideMark/>
          </w:tcPr>
          <w:p w14:paraId="5932A8BB"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Хоёр талт</w:t>
            </w:r>
          </w:p>
        </w:tc>
        <w:tc>
          <w:tcPr>
            <w:tcW w:w="991" w:type="dxa"/>
            <w:tcBorders>
              <w:top w:val="nil"/>
              <w:left w:val="nil"/>
              <w:bottom w:val="single" w:sz="4" w:space="0" w:color="auto"/>
              <w:right w:val="single" w:sz="4" w:space="0" w:color="auto"/>
            </w:tcBorders>
            <w:shd w:val="clear" w:color="auto" w:fill="auto"/>
            <w:noWrap/>
            <w:vAlign w:val="center"/>
            <w:hideMark/>
          </w:tcPr>
          <w:p w14:paraId="077FEAA0"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тогтмол</w:t>
            </w:r>
          </w:p>
        </w:tc>
        <w:tc>
          <w:tcPr>
            <w:tcW w:w="1080" w:type="dxa"/>
            <w:tcBorders>
              <w:top w:val="nil"/>
              <w:left w:val="nil"/>
              <w:bottom w:val="single" w:sz="4" w:space="0" w:color="auto"/>
              <w:right w:val="single" w:sz="4" w:space="0" w:color="auto"/>
            </w:tcBorders>
            <w:shd w:val="clear" w:color="auto" w:fill="auto"/>
            <w:noWrap/>
            <w:vAlign w:val="center"/>
            <w:hideMark/>
          </w:tcPr>
          <w:p w14:paraId="5158A3B0"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20</w:t>
            </w:r>
          </w:p>
        </w:tc>
        <w:tc>
          <w:tcPr>
            <w:tcW w:w="1530" w:type="dxa"/>
            <w:tcBorders>
              <w:top w:val="nil"/>
              <w:left w:val="nil"/>
              <w:bottom w:val="single" w:sz="4" w:space="0" w:color="auto"/>
              <w:right w:val="single" w:sz="4" w:space="0" w:color="auto"/>
            </w:tcBorders>
            <w:shd w:val="clear" w:color="auto" w:fill="auto"/>
            <w:noWrap/>
            <w:vAlign w:val="center"/>
            <w:hideMark/>
          </w:tcPr>
          <w:p w14:paraId="508C6D2E"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5</w:t>
            </w:r>
          </w:p>
        </w:tc>
        <w:tc>
          <w:tcPr>
            <w:tcW w:w="1260" w:type="dxa"/>
            <w:tcBorders>
              <w:top w:val="nil"/>
              <w:left w:val="nil"/>
              <w:bottom w:val="single" w:sz="4" w:space="0" w:color="auto"/>
              <w:right w:val="single" w:sz="4" w:space="0" w:color="auto"/>
            </w:tcBorders>
            <w:shd w:val="clear" w:color="auto" w:fill="auto"/>
            <w:noWrap/>
            <w:vAlign w:val="center"/>
            <w:hideMark/>
          </w:tcPr>
          <w:p w14:paraId="36455A2C"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FX</w:t>
            </w:r>
          </w:p>
        </w:tc>
        <w:tc>
          <w:tcPr>
            <w:tcW w:w="1140" w:type="dxa"/>
            <w:tcBorders>
              <w:top w:val="nil"/>
              <w:left w:val="nil"/>
              <w:bottom w:val="single" w:sz="4" w:space="0" w:color="auto"/>
              <w:right w:val="single" w:sz="4" w:space="0" w:color="auto"/>
            </w:tcBorders>
            <w:shd w:val="clear" w:color="auto" w:fill="auto"/>
            <w:noWrap/>
            <w:vAlign w:val="center"/>
            <w:hideMark/>
          </w:tcPr>
          <w:p w14:paraId="1DA1295F"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USD</w:t>
            </w:r>
          </w:p>
        </w:tc>
      </w:tr>
      <w:tr w:rsidR="00EB07AB" w:rsidRPr="004024BD" w14:paraId="02329FC7" w14:textId="77777777" w:rsidTr="00FD3D1D">
        <w:trPr>
          <w:trHeight w:val="230"/>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4A941073"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USD_6</w:t>
            </w:r>
          </w:p>
        </w:tc>
        <w:tc>
          <w:tcPr>
            <w:tcW w:w="2437" w:type="dxa"/>
            <w:tcBorders>
              <w:top w:val="nil"/>
              <w:left w:val="nil"/>
              <w:bottom w:val="single" w:sz="4" w:space="0" w:color="auto"/>
              <w:right w:val="single" w:sz="4" w:space="0" w:color="auto"/>
            </w:tcBorders>
            <w:shd w:val="clear" w:color="auto" w:fill="auto"/>
            <w:noWrap/>
            <w:vAlign w:val="center"/>
            <w:hideMark/>
          </w:tcPr>
          <w:p w14:paraId="2D47F5BA"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 xml:space="preserve">Олон улсын </w:t>
            </w:r>
            <w:r w:rsidRPr="004024BD">
              <w:rPr>
                <w:rFonts w:ascii="Arial" w:hAnsi="Arial" w:cs="Arial"/>
                <w:sz w:val="20"/>
                <w:szCs w:val="20"/>
                <w:lang w:val="mn-MN"/>
              </w:rPr>
              <w:t>үнэт цаас</w:t>
            </w:r>
          </w:p>
        </w:tc>
        <w:tc>
          <w:tcPr>
            <w:tcW w:w="991" w:type="dxa"/>
            <w:tcBorders>
              <w:top w:val="nil"/>
              <w:left w:val="nil"/>
              <w:bottom w:val="single" w:sz="4" w:space="0" w:color="auto"/>
              <w:right w:val="single" w:sz="4" w:space="0" w:color="auto"/>
            </w:tcBorders>
            <w:shd w:val="clear" w:color="auto" w:fill="auto"/>
            <w:noWrap/>
            <w:vAlign w:val="center"/>
            <w:hideMark/>
          </w:tcPr>
          <w:p w14:paraId="3CAAB444"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тогтмол</w:t>
            </w:r>
          </w:p>
        </w:tc>
        <w:tc>
          <w:tcPr>
            <w:tcW w:w="1080" w:type="dxa"/>
            <w:tcBorders>
              <w:top w:val="nil"/>
              <w:left w:val="nil"/>
              <w:bottom w:val="single" w:sz="4" w:space="0" w:color="auto"/>
              <w:right w:val="single" w:sz="4" w:space="0" w:color="auto"/>
            </w:tcBorders>
            <w:shd w:val="clear" w:color="auto" w:fill="auto"/>
            <w:noWrap/>
            <w:vAlign w:val="center"/>
            <w:hideMark/>
          </w:tcPr>
          <w:p w14:paraId="7BD26A6B"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5</w:t>
            </w:r>
          </w:p>
        </w:tc>
        <w:tc>
          <w:tcPr>
            <w:tcW w:w="1530" w:type="dxa"/>
            <w:tcBorders>
              <w:top w:val="nil"/>
              <w:left w:val="nil"/>
              <w:bottom w:val="single" w:sz="4" w:space="0" w:color="auto"/>
              <w:right w:val="single" w:sz="4" w:space="0" w:color="auto"/>
            </w:tcBorders>
            <w:shd w:val="clear" w:color="auto" w:fill="auto"/>
            <w:noWrap/>
            <w:vAlign w:val="center"/>
            <w:hideMark/>
          </w:tcPr>
          <w:p w14:paraId="52498348"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4</w:t>
            </w:r>
          </w:p>
        </w:tc>
        <w:tc>
          <w:tcPr>
            <w:tcW w:w="1260" w:type="dxa"/>
            <w:tcBorders>
              <w:top w:val="nil"/>
              <w:left w:val="nil"/>
              <w:bottom w:val="single" w:sz="4" w:space="0" w:color="auto"/>
              <w:right w:val="single" w:sz="4" w:space="0" w:color="auto"/>
            </w:tcBorders>
            <w:shd w:val="clear" w:color="auto" w:fill="auto"/>
            <w:noWrap/>
            <w:vAlign w:val="center"/>
            <w:hideMark/>
          </w:tcPr>
          <w:p w14:paraId="693E3719"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FX</w:t>
            </w:r>
          </w:p>
        </w:tc>
        <w:tc>
          <w:tcPr>
            <w:tcW w:w="1140" w:type="dxa"/>
            <w:tcBorders>
              <w:top w:val="nil"/>
              <w:left w:val="nil"/>
              <w:bottom w:val="single" w:sz="4" w:space="0" w:color="auto"/>
              <w:right w:val="single" w:sz="4" w:space="0" w:color="auto"/>
            </w:tcBorders>
            <w:shd w:val="clear" w:color="auto" w:fill="auto"/>
            <w:noWrap/>
            <w:vAlign w:val="center"/>
            <w:hideMark/>
          </w:tcPr>
          <w:p w14:paraId="12D4A109"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USD</w:t>
            </w:r>
          </w:p>
        </w:tc>
      </w:tr>
      <w:tr w:rsidR="00EB07AB" w:rsidRPr="004024BD" w14:paraId="45C5B262" w14:textId="77777777" w:rsidTr="00FD3D1D">
        <w:trPr>
          <w:trHeight w:val="219"/>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6B285009"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USD_7</w:t>
            </w:r>
          </w:p>
        </w:tc>
        <w:tc>
          <w:tcPr>
            <w:tcW w:w="2437" w:type="dxa"/>
            <w:tcBorders>
              <w:top w:val="nil"/>
              <w:left w:val="nil"/>
              <w:bottom w:val="single" w:sz="4" w:space="0" w:color="auto"/>
              <w:right w:val="single" w:sz="4" w:space="0" w:color="auto"/>
            </w:tcBorders>
            <w:shd w:val="clear" w:color="auto" w:fill="auto"/>
            <w:noWrap/>
            <w:vAlign w:val="center"/>
            <w:hideMark/>
          </w:tcPr>
          <w:p w14:paraId="049352B3"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Арилжааны зээл</w:t>
            </w:r>
          </w:p>
        </w:tc>
        <w:tc>
          <w:tcPr>
            <w:tcW w:w="991" w:type="dxa"/>
            <w:tcBorders>
              <w:top w:val="nil"/>
              <w:left w:val="nil"/>
              <w:bottom w:val="single" w:sz="4" w:space="0" w:color="auto"/>
              <w:right w:val="single" w:sz="4" w:space="0" w:color="auto"/>
            </w:tcBorders>
            <w:shd w:val="clear" w:color="auto" w:fill="auto"/>
            <w:noWrap/>
            <w:vAlign w:val="center"/>
            <w:hideMark/>
          </w:tcPr>
          <w:p w14:paraId="22D856F3"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тогтмол</w:t>
            </w:r>
          </w:p>
        </w:tc>
        <w:tc>
          <w:tcPr>
            <w:tcW w:w="1080" w:type="dxa"/>
            <w:tcBorders>
              <w:top w:val="nil"/>
              <w:left w:val="nil"/>
              <w:bottom w:val="single" w:sz="4" w:space="0" w:color="auto"/>
              <w:right w:val="single" w:sz="4" w:space="0" w:color="auto"/>
            </w:tcBorders>
            <w:shd w:val="clear" w:color="auto" w:fill="auto"/>
            <w:noWrap/>
            <w:vAlign w:val="center"/>
            <w:hideMark/>
          </w:tcPr>
          <w:p w14:paraId="608C6B69"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5</w:t>
            </w:r>
          </w:p>
        </w:tc>
        <w:tc>
          <w:tcPr>
            <w:tcW w:w="1530" w:type="dxa"/>
            <w:tcBorders>
              <w:top w:val="nil"/>
              <w:left w:val="nil"/>
              <w:bottom w:val="single" w:sz="4" w:space="0" w:color="auto"/>
              <w:right w:val="single" w:sz="4" w:space="0" w:color="auto"/>
            </w:tcBorders>
            <w:shd w:val="clear" w:color="auto" w:fill="auto"/>
            <w:noWrap/>
            <w:vAlign w:val="center"/>
            <w:hideMark/>
          </w:tcPr>
          <w:p w14:paraId="060191C3"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3</w:t>
            </w:r>
          </w:p>
        </w:tc>
        <w:tc>
          <w:tcPr>
            <w:tcW w:w="1260" w:type="dxa"/>
            <w:tcBorders>
              <w:top w:val="nil"/>
              <w:left w:val="nil"/>
              <w:bottom w:val="single" w:sz="4" w:space="0" w:color="auto"/>
              <w:right w:val="single" w:sz="4" w:space="0" w:color="auto"/>
            </w:tcBorders>
            <w:shd w:val="clear" w:color="auto" w:fill="auto"/>
            <w:noWrap/>
            <w:vAlign w:val="center"/>
            <w:hideMark/>
          </w:tcPr>
          <w:p w14:paraId="05418790"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FX</w:t>
            </w:r>
          </w:p>
        </w:tc>
        <w:tc>
          <w:tcPr>
            <w:tcW w:w="1140" w:type="dxa"/>
            <w:tcBorders>
              <w:top w:val="nil"/>
              <w:left w:val="nil"/>
              <w:bottom w:val="single" w:sz="4" w:space="0" w:color="auto"/>
              <w:right w:val="single" w:sz="4" w:space="0" w:color="auto"/>
            </w:tcBorders>
            <w:shd w:val="clear" w:color="auto" w:fill="auto"/>
            <w:noWrap/>
            <w:vAlign w:val="center"/>
            <w:hideMark/>
          </w:tcPr>
          <w:p w14:paraId="3DFA48C0"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USD</w:t>
            </w:r>
          </w:p>
        </w:tc>
      </w:tr>
      <w:tr w:rsidR="00EB07AB" w:rsidRPr="004024BD" w14:paraId="6DA1A99A" w14:textId="77777777" w:rsidTr="00FD3D1D">
        <w:trPr>
          <w:trHeight w:val="219"/>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4C594220"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USD_8</w:t>
            </w:r>
          </w:p>
        </w:tc>
        <w:tc>
          <w:tcPr>
            <w:tcW w:w="2437" w:type="dxa"/>
            <w:tcBorders>
              <w:top w:val="nil"/>
              <w:left w:val="nil"/>
              <w:bottom w:val="single" w:sz="4" w:space="0" w:color="auto"/>
              <w:right w:val="single" w:sz="4" w:space="0" w:color="auto"/>
            </w:tcBorders>
            <w:shd w:val="clear" w:color="auto" w:fill="auto"/>
            <w:noWrap/>
            <w:vAlign w:val="center"/>
            <w:hideMark/>
          </w:tcPr>
          <w:p w14:paraId="174AAE61"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Арилжааны зээл</w:t>
            </w:r>
          </w:p>
        </w:tc>
        <w:tc>
          <w:tcPr>
            <w:tcW w:w="991" w:type="dxa"/>
            <w:tcBorders>
              <w:top w:val="nil"/>
              <w:left w:val="nil"/>
              <w:bottom w:val="single" w:sz="4" w:space="0" w:color="auto"/>
              <w:right w:val="single" w:sz="4" w:space="0" w:color="auto"/>
            </w:tcBorders>
            <w:shd w:val="clear" w:color="auto" w:fill="auto"/>
            <w:noWrap/>
            <w:vAlign w:val="center"/>
            <w:hideMark/>
          </w:tcPr>
          <w:p w14:paraId="2710702B"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хувьсах</w:t>
            </w:r>
          </w:p>
        </w:tc>
        <w:tc>
          <w:tcPr>
            <w:tcW w:w="1080" w:type="dxa"/>
            <w:tcBorders>
              <w:top w:val="nil"/>
              <w:left w:val="nil"/>
              <w:bottom w:val="single" w:sz="4" w:space="0" w:color="auto"/>
              <w:right w:val="single" w:sz="4" w:space="0" w:color="auto"/>
            </w:tcBorders>
            <w:shd w:val="clear" w:color="auto" w:fill="auto"/>
            <w:noWrap/>
            <w:vAlign w:val="center"/>
            <w:hideMark/>
          </w:tcPr>
          <w:p w14:paraId="3CABEC8D"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6</w:t>
            </w:r>
          </w:p>
        </w:tc>
        <w:tc>
          <w:tcPr>
            <w:tcW w:w="1530" w:type="dxa"/>
            <w:tcBorders>
              <w:top w:val="nil"/>
              <w:left w:val="nil"/>
              <w:bottom w:val="single" w:sz="4" w:space="0" w:color="auto"/>
              <w:right w:val="single" w:sz="4" w:space="0" w:color="auto"/>
            </w:tcBorders>
            <w:shd w:val="clear" w:color="auto" w:fill="auto"/>
            <w:noWrap/>
            <w:vAlign w:val="center"/>
            <w:hideMark/>
          </w:tcPr>
          <w:p w14:paraId="2A9EA947"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2</w:t>
            </w:r>
          </w:p>
        </w:tc>
        <w:tc>
          <w:tcPr>
            <w:tcW w:w="1260" w:type="dxa"/>
            <w:tcBorders>
              <w:top w:val="nil"/>
              <w:left w:val="nil"/>
              <w:bottom w:val="single" w:sz="4" w:space="0" w:color="auto"/>
              <w:right w:val="single" w:sz="4" w:space="0" w:color="auto"/>
            </w:tcBorders>
            <w:shd w:val="clear" w:color="auto" w:fill="auto"/>
            <w:noWrap/>
            <w:vAlign w:val="center"/>
            <w:hideMark/>
          </w:tcPr>
          <w:p w14:paraId="23D0CA48"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FX</w:t>
            </w:r>
          </w:p>
        </w:tc>
        <w:tc>
          <w:tcPr>
            <w:tcW w:w="1140" w:type="dxa"/>
            <w:tcBorders>
              <w:top w:val="nil"/>
              <w:left w:val="nil"/>
              <w:bottom w:val="single" w:sz="4" w:space="0" w:color="auto"/>
              <w:right w:val="single" w:sz="4" w:space="0" w:color="auto"/>
            </w:tcBorders>
            <w:shd w:val="clear" w:color="auto" w:fill="auto"/>
            <w:noWrap/>
            <w:vAlign w:val="center"/>
            <w:hideMark/>
          </w:tcPr>
          <w:p w14:paraId="1BECFC8F"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USD</w:t>
            </w:r>
          </w:p>
        </w:tc>
      </w:tr>
      <w:tr w:rsidR="00EB07AB" w:rsidRPr="004024BD" w14:paraId="31EB0959" w14:textId="77777777" w:rsidTr="00FD3D1D">
        <w:trPr>
          <w:trHeight w:val="219"/>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6DF466DD"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MNT_11</w:t>
            </w:r>
          </w:p>
        </w:tc>
        <w:tc>
          <w:tcPr>
            <w:tcW w:w="2437" w:type="dxa"/>
            <w:tcBorders>
              <w:top w:val="nil"/>
              <w:left w:val="nil"/>
              <w:bottom w:val="single" w:sz="4" w:space="0" w:color="auto"/>
              <w:right w:val="single" w:sz="4" w:space="0" w:color="auto"/>
            </w:tcBorders>
            <w:shd w:val="clear" w:color="auto" w:fill="auto"/>
            <w:noWrap/>
            <w:vAlign w:val="center"/>
            <w:hideMark/>
          </w:tcPr>
          <w:p w14:paraId="541B181B"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Богино хугацаат үнэт цаас</w:t>
            </w:r>
          </w:p>
        </w:tc>
        <w:tc>
          <w:tcPr>
            <w:tcW w:w="991" w:type="dxa"/>
            <w:tcBorders>
              <w:top w:val="nil"/>
              <w:left w:val="nil"/>
              <w:bottom w:val="single" w:sz="4" w:space="0" w:color="auto"/>
              <w:right w:val="single" w:sz="4" w:space="0" w:color="auto"/>
            </w:tcBorders>
            <w:shd w:val="clear" w:color="auto" w:fill="auto"/>
            <w:noWrap/>
            <w:vAlign w:val="center"/>
            <w:hideMark/>
          </w:tcPr>
          <w:p w14:paraId="2E78AC56"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тогтмол</w:t>
            </w:r>
          </w:p>
        </w:tc>
        <w:tc>
          <w:tcPr>
            <w:tcW w:w="1080" w:type="dxa"/>
            <w:tcBorders>
              <w:top w:val="nil"/>
              <w:left w:val="nil"/>
              <w:bottom w:val="single" w:sz="4" w:space="0" w:color="auto"/>
              <w:right w:val="single" w:sz="4" w:space="0" w:color="auto"/>
            </w:tcBorders>
            <w:shd w:val="clear" w:color="auto" w:fill="auto"/>
            <w:noWrap/>
            <w:vAlign w:val="center"/>
            <w:hideMark/>
          </w:tcPr>
          <w:p w14:paraId="667821A0"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1</w:t>
            </w:r>
          </w:p>
        </w:tc>
        <w:tc>
          <w:tcPr>
            <w:tcW w:w="1530" w:type="dxa"/>
            <w:tcBorders>
              <w:top w:val="nil"/>
              <w:left w:val="nil"/>
              <w:bottom w:val="single" w:sz="4" w:space="0" w:color="auto"/>
              <w:right w:val="single" w:sz="4" w:space="0" w:color="auto"/>
            </w:tcBorders>
            <w:shd w:val="clear" w:color="auto" w:fill="auto"/>
            <w:noWrap/>
            <w:vAlign w:val="center"/>
            <w:hideMark/>
          </w:tcPr>
          <w:p w14:paraId="29AEF4C8"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0</w:t>
            </w:r>
          </w:p>
        </w:tc>
        <w:tc>
          <w:tcPr>
            <w:tcW w:w="1260" w:type="dxa"/>
            <w:tcBorders>
              <w:top w:val="nil"/>
              <w:left w:val="nil"/>
              <w:bottom w:val="single" w:sz="4" w:space="0" w:color="auto"/>
              <w:right w:val="single" w:sz="4" w:space="0" w:color="auto"/>
            </w:tcBorders>
            <w:shd w:val="clear" w:color="auto" w:fill="auto"/>
            <w:noWrap/>
            <w:vAlign w:val="center"/>
            <w:hideMark/>
          </w:tcPr>
          <w:p w14:paraId="37F16796"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DX</w:t>
            </w:r>
          </w:p>
        </w:tc>
        <w:tc>
          <w:tcPr>
            <w:tcW w:w="1140" w:type="dxa"/>
            <w:tcBorders>
              <w:top w:val="nil"/>
              <w:left w:val="nil"/>
              <w:bottom w:val="single" w:sz="4" w:space="0" w:color="auto"/>
              <w:right w:val="single" w:sz="4" w:space="0" w:color="auto"/>
            </w:tcBorders>
            <w:shd w:val="clear" w:color="auto" w:fill="auto"/>
            <w:noWrap/>
            <w:vAlign w:val="center"/>
            <w:hideMark/>
          </w:tcPr>
          <w:p w14:paraId="431FB18B"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MNT</w:t>
            </w:r>
          </w:p>
        </w:tc>
      </w:tr>
      <w:tr w:rsidR="00EB07AB" w:rsidRPr="004024BD" w14:paraId="343DE230" w14:textId="77777777" w:rsidTr="00FD3D1D">
        <w:trPr>
          <w:trHeight w:val="219"/>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20D26BBB"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MNT_12</w:t>
            </w:r>
          </w:p>
        </w:tc>
        <w:tc>
          <w:tcPr>
            <w:tcW w:w="2437" w:type="dxa"/>
            <w:tcBorders>
              <w:top w:val="nil"/>
              <w:left w:val="nil"/>
              <w:bottom w:val="single" w:sz="4" w:space="0" w:color="auto"/>
              <w:right w:val="single" w:sz="4" w:space="0" w:color="auto"/>
            </w:tcBorders>
            <w:shd w:val="clear" w:color="auto" w:fill="auto"/>
            <w:noWrap/>
            <w:vAlign w:val="center"/>
            <w:hideMark/>
          </w:tcPr>
          <w:p w14:paraId="437BBAF4"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Үнэт цаас /2 жил/</w:t>
            </w:r>
          </w:p>
        </w:tc>
        <w:tc>
          <w:tcPr>
            <w:tcW w:w="991" w:type="dxa"/>
            <w:tcBorders>
              <w:top w:val="nil"/>
              <w:left w:val="nil"/>
              <w:bottom w:val="single" w:sz="4" w:space="0" w:color="auto"/>
              <w:right w:val="single" w:sz="4" w:space="0" w:color="auto"/>
            </w:tcBorders>
            <w:shd w:val="clear" w:color="auto" w:fill="auto"/>
            <w:noWrap/>
            <w:vAlign w:val="center"/>
            <w:hideMark/>
          </w:tcPr>
          <w:p w14:paraId="7CBFEA32"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тогтмол</w:t>
            </w:r>
          </w:p>
        </w:tc>
        <w:tc>
          <w:tcPr>
            <w:tcW w:w="1080" w:type="dxa"/>
            <w:tcBorders>
              <w:top w:val="nil"/>
              <w:left w:val="nil"/>
              <w:bottom w:val="single" w:sz="4" w:space="0" w:color="auto"/>
              <w:right w:val="single" w:sz="4" w:space="0" w:color="auto"/>
            </w:tcBorders>
            <w:shd w:val="clear" w:color="auto" w:fill="auto"/>
            <w:noWrap/>
            <w:vAlign w:val="center"/>
            <w:hideMark/>
          </w:tcPr>
          <w:p w14:paraId="69886BE9"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2</w:t>
            </w:r>
          </w:p>
        </w:tc>
        <w:tc>
          <w:tcPr>
            <w:tcW w:w="1530" w:type="dxa"/>
            <w:tcBorders>
              <w:top w:val="nil"/>
              <w:left w:val="nil"/>
              <w:bottom w:val="single" w:sz="4" w:space="0" w:color="auto"/>
              <w:right w:val="single" w:sz="4" w:space="0" w:color="auto"/>
            </w:tcBorders>
            <w:shd w:val="clear" w:color="auto" w:fill="auto"/>
            <w:noWrap/>
            <w:vAlign w:val="center"/>
            <w:hideMark/>
          </w:tcPr>
          <w:p w14:paraId="31A0AB47"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1</w:t>
            </w:r>
          </w:p>
        </w:tc>
        <w:tc>
          <w:tcPr>
            <w:tcW w:w="1260" w:type="dxa"/>
            <w:tcBorders>
              <w:top w:val="nil"/>
              <w:left w:val="nil"/>
              <w:bottom w:val="single" w:sz="4" w:space="0" w:color="auto"/>
              <w:right w:val="single" w:sz="4" w:space="0" w:color="auto"/>
            </w:tcBorders>
            <w:shd w:val="clear" w:color="auto" w:fill="auto"/>
            <w:noWrap/>
            <w:vAlign w:val="center"/>
            <w:hideMark/>
          </w:tcPr>
          <w:p w14:paraId="7BD79044"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DX</w:t>
            </w:r>
          </w:p>
        </w:tc>
        <w:tc>
          <w:tcPr>
            <w:tcW w:w="1140" w:type="dxa"/>
            <w:tcBorders>
              <w:top w:val="nil"/>
              <w:left w:val="nil"/>
              <w:bottom w:val="single" w:sz="4" w:space="0" w:color="auto"/>
              <w:right w:val="single" w:sz="4" w:space="0" w:color="auto"/>
            </w:tcBorders>
            <w:shd w:val="clear" w:color="auto" w:fill="auto"/>
            <w:noWrap/>
            <w:vAlign w:val="center"/>
            <w:hideMark/>
          </w:tcPr>
          <w:p w14:paraId="17C679DD"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MNT</w:t>
            </w:r>
          </w:p>
        </w:tc>
      </w:tr>
      <w:tr w:rsidR="00EB07AB" w:rsidRPr="004024BD" w14:paraId="7434D710" w14:textId="77777777" w:rsidTr="00FD3D1D">
        <w:trPr>
          <w:trHeight w:val="219"/>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451B092E"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MNT_13</w:t>
            </w:r>
          </w:p>
        </w:tc>
        <w:tc>
          <w:tcPr>
            <w:tcW w:w="2437" w:type="dxa"/>
            <w:tcBorders>
              <w:top w:val="nil"/>
              <w:left w:val="nil"/>
              <w:bottom w:val="single" w:sz="4" w:space="0" w:color="auto"/>
              <w:right w:val="single" w:sz="4" w:space="0" w:color="auto"/>
            </w:tcBorders>
            <w:shd w:val="clear" w:color="auto" w:fill="auto"/>
            <w:noWrap/>
            <w:vAlign w:val="center"/>
            <w:hideMark/>
          </w:tcPr>
          <w:p w14:paraId="393BF6F6"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Үнэт цаас /3 жил/</w:t>
            </w:r>
          </w:p>
        </w:tc>
        <w:tc>
          <w:tcPr>
            <w:tcW w:w="991" w:type="dxa"/>
            <w:tcBorders>
              <w:top w:val="nil"/>
              <w:left w:val="nil"/>
              <w:bottom w:val="single" w:sz="4" w:space="0" w:color="auto"/>
              <w:right w:val="single" w:sz="4" w:space="0" w:color="auto"/>
            </w:tcBorders>
            <w:shd w:val="clear" w:color="auto" w:fill="auto"/>
            <w:noWrap/>
            <w:vAlign w:val="center"/>
            <w:hideMark/>
          </w:tcPr>
          <w:p w14:paraId="4C7E1F9F"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тогтмол</w:t>
            </w:r>
          </w:p>
        </w:tc>
        <w:tc>
          <w:tcPr>
            <w:tcW w:w="1080" w:type="dxa"/>
            <w:tcBorders>
              <w:top w:val="nil"/>
              <w:left w:val="nil"/>
              <w:bottom w:val="single" w:sz="4" w:space="0" w:color="auto"/>
              <w:right w:val="single" w:sz="4" w:space="0" w:color="auto"/>
            </w:tcBorders>
            <w:shd w:val="clear" w:color="auto" w:fill="auto"/>
            <w:noWrap/>
            <w:vAlign w:val="center"/>
            <w:hideMark/>
          </w:tcPr>
          <w:p w14:paraId="1D8FF1F4"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3</w:t>
            </w:r>
          </w:p>
        </w:tc>
        <w:tc>
          <w:tcPr>
            <w:tcW w:w="1530" w:type="dxa"/>
            <w:tcBorders>
              <w:top w:val="nil"/>
              <w:left w:val="nil"/>
              <w:bottom w:val="single" w:sz="4" w:space="0" w:color="auto"/>
              <w:right w:val="single" w:sz="4" w:space="0" w:color="auto"/>
            </w:tcBorders>
            <w:shd w:val="clear" w:color="auto" w:fill="auto"/>
            <w:noWrap/>
            <w:vAlign w:val="center"/>
            <w:hideMark/>
          </w:tcPr>
          <w:p w14:paraId="3641D34A"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2</w:t>
            </w:r>
          </w:p>
        </w:tc>
        <w:tc>
          <w:tcPr>
            <w:tcW w:w="1260" w:type="dxa"/>
            <w:tcBorders>
              <w:top w:val="nil"/>
              <w:left w:val="nil"/>
              <w:bottom w:val="single" w:sz="4" w:space="0" w:color="auto"/>
              <w:right w:val="single" w:sz="4" w:space="0" w:color="auto"/>
            </w:tcBorders>
            <w:shd w:val="clear" w:color="auto" w:fill="auto"/>
            <w:noWrap/>
            <w:vAlign w:val="center"/>
            <w:hideMark/>
          </w:tcPr>
          <w:p w14:paraId="165399D3"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DX</w:t>
            </w:r>
          </w:p>
        </w:tc>
        <w:tc>
          <w:tcPr>
            <w:tcW w:w="1140" w:type="dxa"/>
            <w:tcBorders>
              <w:top w:val="nil"/>
              <w:left w:val="nil"/>
              <w:bottom w:val="single" w:sz="4" w:space="0" w:color="auto"/>
              <w:right w:val="single" w:sz="4" w:space="0" w:color="auto"/>
            </w:tcBorders>
            <w:shd w:val="clear" w:color="auto" w:fill="auto"/>
            <w:noWrap/>
            <w:vAlign w:val="center"/>
            <w:hideMark/>
          </w:tcPr>
          <w:p w14:paraId="2040E243"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MNT</w:t>
            </w:r>
          </w:p>
        </w:tc>
      </w:tr>
      <w:tr w:rsidR="00EB07AB" w:rsidRPr="004024BD" w14:paraId="6DF996FA" w14:textId="77777777" w:rsidTr="00FD3D1D">
        <w:trPr>
          <w:trHeight w:val="219"/>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2A2B7FE4"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MNT_14</w:t>
            </w:r>
          </w:p>
        </w:tc>
        <w:tc>
          <w:tcPr>
            <w:tcW w:w="2437" w:type="dxa"/>
            <w:tcBorders>
              <w:top w:val="nil"/>
              <w:left w:val="nil"/>
              <w:bottom w:val="single" w:sz="4" w:space="0" w:color="auto"/>
              <w:right w:val="single" w:sz="4" w:space="0" w:color="auto"/>
            </w:tcBorders>
            <w:shd w:val="clear" w:color="auto" w:fill="auto"/>
            <w:noWrap/>
            <w:vAlign w:val="center"/>
            <w:hideMark/>
          </w:tcPr>
          <w:p w14:paraId="61D62A10"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Үнэт цаас /5 жил/</w:t>
            </w:r>
          </w:p>
        </w:tc>
        <w:tc>
          <w:tcPr>
            <w:tcW w:w="991" w:type="dxa"/>
            <w:tcBorders>
              <w:top w:val="nil"/>
              <w:left w:val="nil"/>
              <w:bottom w:val="single" w:sz="4" w:space="0" w:color="auto"/>
              <w:right w:val="single" w:sz="4" w:space="0" w:color="auto"/>
            </w:tcBorders>
            <w:shd w:val="clear" w:color="auto" w:fill="auto"/>
            <w:noWrap/>
            <w:vAlign w:val="center"/>
            <w:hideMark/>
          </w:tcPr>
          <w:p w14:paraId="701898A7"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тогтмол</w:t>
            </w:r>
          </w:p>
        </w:tc>
        <w:tc>
          <w:tcPr>
            <w:tcW w:w="1080" w:type="dxa"/>
            <w:tcBorders>
              <w:top w:val="nil"/>
              <w:left w:val="nil"/>
              <w:bottom w:val="single" w:sz="4" w:space="0" w:color="auto"/>
              <w:right w:val="single" w:sz="4" w:space="0" w:color="auto"/>
            </w:tcBorders>
            <w:shd w:val="clear" w:color="auto" w:fill="auto"/>
            <w:noWrap/>
            <w:vAlign w:val="center"/>
            <w:hideMark/>
          </w:tcPr>
          <w:p w14:paraId="7AA52DA2"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5</w:t>
            </w:r>
          </w:p>
        </w:tc>
        <w:tc>
          <w:tcPr>
            <w:tcW w:w="1530" w:type="dxa"/>
            <w:tcBorders>
              <w:top w:val="nil"/>
              <w:left w:val="nil"/>
              <w:bottom w:val="single" w:sz="4" w:space="0" w:color="auto"/>
              <w:right w:val="single" w:sz="4" w:space="0" w:color="auto"/>
            </w:tcBorders>
            <w:shd w:val="clear" w:color="auto" w:fill="auto"/>
            <w:noWrap/>
            <w:vAlign w:val="center"/>
            <w:hideMark/>
          </w:tcPr>
          <w:p w14:paraId="2DD4A081"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4</w:t>
            </w:r>
          </w:p>
        </w:tc>
        <w:tc>
          <w:tcPr>
            <w:tcW w:w="1260" w:type="dxa"/>
            <w:tcBorders>
              <w:top w:val="nil"/>
              <w:left w:val="nil"/>
              <w:bottom w:val="single" w:sz="4" w:space="0" w:color="auto"/>
              <w:right w:val="single" w:sz="4" w:space="0" w:color="auto"/>
            </w:tcBorders>
            <w:shd w:val="clear" w:color="auto" w:fill="auto"/>
            <w:noWrap/>
            <w:vAlign w:val="center"/>
            <w:hideMark/>
          </w:tcPr>
          <w:p w14:paraId="511E4A0E"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DX</w:t>
            </w:r>
          </w:p>
        </w:tc>
        <w:tc>
          <w:tcPr>
            <w:tcW w:w="1140" w:type="dxa"/>
            <w:tcBorders>
              <w:top w:val="nil"/>
              <w:left w:val="nil"/>
              <w:bottom w:val="single" w:sz="4" w:space="0" w:color="auto"/>
              <w:right w:val="single" w:sz="4" w:space="0" w:color="auto"/>
            </w:tcBorders>
            <w:shd w:val="clear" w:color="auto" w:fill="auto"/>
            <w:noWrap/>
            <w:vAlign w:val="center"/>
            <w:hideMark/>
          </w:tcPr>
          <w:p w14:paraId="120BE915"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MNT</w:t>
            </w:r>
          </w:p>
        </w:tc>
      </w:tr>
      <w:tr w:rsidR="00EB07AB" w:rsidRPr="004024BD" w14:paraId="3DFC4F9E" w14:textId="77777777" w:rsidTr="00FD3D1D">
        <w:trPr>
          <w:trHeight w:val="219"/>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1B21F88C"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MNT_15</w:t>
            </w:r>
          </w:p>
        </w:tc>
        <w:tc>
          <w:tcPr>
            <w:tcW w:w="2437" w:type="dxa"/>
            <w:tcBorders>
              <w:top w:val="nil"/>
              <w:left w:val="nil"/>
              <w:bottom w:val="single" w:sz="4" w:space="0" w:color="auto"/>
              <w:right w:val="single" w:sz="4" w:space="0" w:color="auto"/>
            </w:tcBorders>
            <w:shd w:val="clear" w:color="auto" w:fill="auto"/>
            <w:noWrap/>
            <w:vAlign w:val="center"/>
            <w:hideMark/>
          </w:tcPr>
          <w:p w14:paraId="0148D2ED"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Үнэт цаас /7 жил/</w:t>
            </w:r>
          </w:p>
        </w:tc>
        <w:tc>
          <w:tcPr>
            <w:tcW w:w="991" w:type="dxa"/>
            <w:tcBorders>
              <w:top w:val="nil"/>
              <w:left w:val="nil"/>
              <w:bottom w:val="single" w:sz="4" w:space="0" w:color="auto"/>
              <w:right w:val="single" w:sz="4" w:space="0" w:color="auto"/>
            </w:tcBorders>
            <w:shd w:val="clear" w:color="auto" w:fill="auto"/>
            <w:noWrap/>
            <w:vAlign w:val="center"/>
            <w:hideMark/>
          </w:tcPr>
          <w:p w14:paraId="61D08D2F"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тогтмол</w:t>
            </w:r>
          </w:p>
        </w:tc>
        <w:tc>
          <w:tcPr>
            <w:tcW w:w="1080" w:type="dxa"/>
            <w:tcBorders>
              <w:top w:val="nil"/>
              <w:left w:val="nil"/>
              <w:bottom w:val="single" w:sz="4" w:space="0" w:color="auto"/>
              <w:right w:val="single" w:sz="4" w:space="0" w:color="auto"/>
            </w:tcBorders>
            <w:shd w:val="clear" w:color="auto" w:fill="auto"/>
            <w:noWrap/>
            <w:vAlign w:val="center"/>
            <w:hideMark/>
          </w:tcPr>
          <w:p w14:paraId="18C54208"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7</w:t>
            </w:r>
          </w:p>
        </w:tc>
        <w:tc>
          <w:tcPr>
            <w:tcW w:w="1530" w:type="dxa"/>
            <w:tcBorders>
              <w:top w:val="nil"/>
              <w:left w:val="nil"/>
              <w:bottom w:val="single" w:sz="4" w:space="0" w:color="auto"/>
              <w:right w:val="single" w:sz="4" w:space="0" w:color="auto"/>
            </w:tcBorders>
            <w:shd w:val="clear" w:color="auto" w:fill="auto"/>
            <w:noWrap/>
            <w:vAlign w:val="center"/>
            <w:hideMark/>
          </w:tcPr>
          <w:p w14:paraId="6282F8CF"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6</w:t>
            </w:r>
          </w:p>
        </w:tc>
        <w:tc>
          <w:tcPr>
            <w:tcW w:w="1260" w:type="dxa"/>
            <w:tcBorders>
              <w:top w:val="nil"/>
              <w:left w:val="nil"/>
              <w:bottom w:val="single" w:sz="4" w:space="0" w:color="auto"/>
              <w:right w:val="single" w:sz="4" w:space="0" w:color="auto"/>
            </w:tcBorders>
            <w:shd w:val="clear" w:color="auto" w:fill="auto"/>
            <w:noWrap/>
            <w:vAlign w:val="center"/>
            <w:hideMark/>
          </w:tcPr>
          <w:p w14:paraId="558FF71D"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DX</w:t>
            </w:r>
          </w:p>
        </w:tc>
        <w:tc>
          <w:tcPr>
            <w:tcW w:w="1140" w:type="dxa"/>
            <w:tcBorders>
              <w:top w:val="nil"/>
              <w:left w:val="nil"/>
              <w:bottom w:val="single" w:sz="4" w:space="0" w:color="auto"/>
              <w:right w:val="single" w:sz="4" w:space="0" w:color="auto"/>
            </w:tcBorders>
            <w:shd w:val="clear" w:color="auto" w:fill="auto"/>
            <w:noWrap/>
            <w:vAlign w:val="center"/>
            <w:hideMark/>
          </w:tcPr>
          <w:p w14:paraId="0F07EC2E"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MNT</w:t>
            </w:r>
          </w:p>
        </w:tc>
      </w:tr>
      <w:tr w:rsidR="00EB07AB" w:rsidRPr="004024BD" w14:paraId="175174F2" w14:textId="77777777" w:rsidTr="00FD3D1D">
        <w:trPr>
          <w:trHeight w:val="219"/>
        </w:trPr>
        <w:tc>
          <w:tcPr>
            <w:tcW w:w="1343" w:type="dxa"/>
            <w:tcBorders>
              <w:top w:val="nil"/>
              <w:left w:val="single" w:sz="4" w:space="0" w:color="auto"/>
              <w:bottom w:val="single" w:sz="4" w:space="0" w:color="auto"/>
              <w:right w:val="single" w:sz="4" w:space="0" w:color="auto"/>
            </w:tcBorders>
            <w:shd w:val="clear" w:color="auto" w:fill="auto"/>
            <w:noWrap/>
            <w:vAlign w:val="center"/>
            <w:hideMark/>
          </w:tcPr>
          <w:p w14:paraId="13872F00"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MNT_16</w:t>
            </w:r>
          </w:p>
        </w:tc>
        <w:tc>
          <w:tcPr>
            <w:tcW w:w="2437" w:type="dxa"/>
            <w:tcBorders>
              <w:top w:val="nil"/>
              <w:left w:val="nil"/>
              <w:bottom w:val="single" w:sz="4" w:space="0" w:color="auto"/>
              <w:right w:val="single" w:sz="4" w:space="0" w:color="auto"/>
            </w:tcBorders>
            <w:shd w:val="clear" w:color="auto" w:fill="auto"/>
            <w:noWrap/>
            <w:vAlign w:val="center"/>
            <w:hideMark/>
          </w:tcPr>
          <w:p w14:paraId="4422DB3B"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Үнэт цаас /10 жил/</w:t>
            </w:r>
          </w:p>
        </w:tc>
        <w:tc>
          <w:tcPr>
            <w:tcW w:w="991" w:type="dxa"/>
            <w:tcBorders>
              <w:top w:val="nil"/>
              <w:left w:val="nil"/>
              <w:bottom w:val="single" w:sz="4" w:space="0" w:color="auto"/>
              <w:right w:val="single" w:sz="4" w:space="0" w:color="auto"/>
            </w:tcBorders>
            <w:shd w:val="clear" w:color="auto" w:fill="auto"/>
            <w:noWrap/>
            <w:vAlign w:val="center"/>
            <w:hideMark/>
          </w:tcPr>
          <w:p w14:paraId="0841442C"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тогтмол</w:t>
            </w:r>
          </w:p>
        </w:tc>
        <w:tc>
          <w:tcPr>
            <w:tcW w:w="1080" w:type="dxa"/>
            <w:tcBorders>
              <w:top w:val="nil"/>
              <w:left w:val="nil"/>
              <w:bottom w:val="single" w:sz="4" w:space="0" w:color="auto"/>
              <w:right w:val="single" w:sz="4" w:space="0" w:color="auto"/>
            </w:tcBorders>
            <w:shd w:val="clear" w:color="auto" w:fill="auto"/>
            <w:noWrap/>
            <w:vAlign w:val="center"/>
            <w:hideMark/>
          </w:tcPr>
          <w:p w14:paraId="4AE10860"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10</w:t>
            </w:r>
          </w:p>
        </w:tc>
        <w:tc>
          <w:tcPr>
            <w:tcW w:w="1530" w:type="dxa"/>
            <w:tcBorders>
              <w:top w:val="nil"/>
              <w:left w:val="nil"/>
              <w:bottom w:val="single" w:sz="4" w:space="0" w:color="auto"/>
              <w:right w:val="single" w:sz="4" w:space="0" w:color="auto"/>
            </w:tcBorders>
            <w:shd w:val="clear" w:color="auto" w:fill="auto"/>
            <w:noWrap/>
            <w:vAlign w:val="center"/>
            <w:hideMark/>
          </w:tcPr>
          <w:p w14:paraId="360B3426"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9</w:t>
            </w:r>
          </w:p>
        </w:tc>
        <w:tc>
          <w:tcPr>
            <w:tcW w:w="1260" w:type="dxa"/>
            <w:tcBorders>
              <w:top w:val="nil"/>
              <w:left w:val="nil"/>
              <w:bottom w:val="single" w:sz="4" w:space="0" w:color="auto"/>
              <w:right w:val="single" w:sz="4" w:space="0" w:color="auto"/>
            </w:tcBorders>
            <w:shd w:val="clear" w:color="auto" w:fill="auto"/>
            <w:noWrap/>
            <w:vAlign w:val="center"/>
            <w:hideMark/>
          </w:tcPr>
          <w:p w14:paraId="66DC7782"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DX</w:t>
            </w:r>
          </w:p>
        </w:tc>
        <w:tc>
          <w:tcPr>
            <w:tcW w:w="1140" w:type="dxa"/>
            <w:tcBorders>
              <w:top w:val="nil"/>
              <w:left w:val="nil"/>
              <w:bottom w:val="single" w:sz="4" w:space="0" w:color="auto"/>
              <w:right w:val="single" w:sz="4" w:space="0" w:color="auto"/>
            </w:tcBorders>
            <w:shd w:val="clear" w:color="auto" w:fill="auto"/>
            <w:noWrap/>
            <w:vAlign w:val="center"/>
            <w:hideMark/>
          </w:tcPr>
          <w:p w14:paraId="32E1B109"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MNT</w:t>
            </w:r>
          </w:p>
        </w:tc>
      </w:tr>
      <w:tr w:rsidR="00EB07AB" w:rsidRPr="004024BD" w14:paraId="22A6D691" w14:textId="77777777" w:rsidTr="00FD3D1D">
        <w:trPr>
          <w:trHeight w:val="219"/>
        </w:trPr>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0371D"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lastRenderedPageBreak/>
              <w:t>MNT_17</w:t>
            </w:r>
          </w:p>
        </w:tc>
        <w:tc>
          <w:tcPr>
            <w:tcW w:w="2437" w:type="dxa"/>
            <w:tcBorders>
              <w:top w:val="single" w:sz="4" w:space="0" w:color="auto"/>
              <w:left w:val="nil"/>
              <w:bottom w:val="single" w:sz="4" w:space="0" w:color="auto"/>
              <w:right w:val="single" w:sz="4" w:space="0" w:color="auto"/>
            </w:tcBorders>
            <w:shd w:val="clear" w:color="auto" w:fill="auto"/>
            <w:noWrap/>
            <w:vAlign w:val="center"/>
            <w:hideMark/>
          </w:tcPr>
          <w:p w14:paraId="424F2D26"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Үнэт цаас /15 жил/</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7283EDEF"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тогтмол</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A4BCF94"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15</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59672E04"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14</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65D33B5"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DX</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209581F2" w14:textId="77777777" w:rsidR="00EB07AB" w:rsidRPr="004024BD" w:rsidRDefault="00EB07AB" w:rsidP="00FD3D1D">
            <w:pPr>
              <w:spacing w:after="0" w:line="240" w:lineRule="auto"/>
              <w:jc w:val="center"/>
              <w:rPr>
                <w:rFonts w:ascii="Arial" w:eastAsia="Times New Roman" w:hAnsi="Arial" w:cs="Arial"/>
                <w:color w:val="000000" w:themeColor="text1"/>
                <w:sz w:val="20"/>
                <w:szCs w:val="20"/>
                <w:lang w:val="mn-MN"/>
              </w:rPr>
            </w:pPr>
            <w:r w:rsidRPr="004024BD">
              <w:rPr>
                <w:rFonts w:ascii="Arial" w:eastAsia="Times New Roman" w:hAnsi="Arial" w:cs="Arial"/>
                <w:color w:val="000000" w:themeColor="text1"/>
                <w:sz w:val="20"/>
                <w:szCs w:val="20"/>
                <w:lang w:val="mn-MN"/>
              </w:rPr>
              <w:t>MNT</w:t>
            </w:r>
          </w:p>
        </w:tc>
      </w:tr>
    </w:tbl>
    <w:p w14:paraId="75822E3F" w14:textId="77777777" w:rsidR="00EB07AB" w:rsidRPr="004024BD" w:rsidRDefault="00EB07AB" w:rsidP="00EB07AB">
      <w:pPr>
        <w:pStyle w:val="NoSpacing"/>
        <w:spacing w:after="0" w:line="240" w:lineRule="auto"/>
        <w:rPr>
          <w:rFonts w:ascii="Arial" w:hAnsi="Arial" w:cs="Arial"/>
        </w:rPr>
        <w:sectPr w:rsidR="00EB07AB" w:rsidRPr="004024BD" w:rsidSect="002A2F8C">
          <w:type w:val="continuous"/>
          <w:pgSz w:w="11906" w:h="16838" w:code="9"/>
          <w:pgMar w:top="1134" w:right="851" w:bottom="851" w:left="1247" w:header="720" w:footer="720" w:gutter="0"/>
          <w:cols w:space="720"/>
          <w:titlePg/>
          <w:docGrid w:linePitch="360"/>
        </w:sectPr>
      </w:pPr>
    </w:p>
    <w:p w14:paraId="1E352239" w14:textId="77777777" w:rsidR="00EB07AB" w:rsidRPr="004024BD" w:rsidRDefault="00EB07AB" w:rsidP="00EB07AB">
      <w:pPr>
        <w:pStyle w:val="NoSpacing"/>
        <w:spacing w:after="0" w:line="240" w:lineRule="auto"/>
        <w:ind w:firstLine="720"/>
        <w:jc w:val="left"/>
        <w:rPr>
          <w:rFonts w:ascii="Arial" w:hAnsi="Arial" w:cs="Arial"/>
          <w:b/>
          <w:sz w:val="24"/>
          <w:szCs w:val="24"/>
        </w:rPr>
      </w:pPr>
      <w:r w:rsidRPr="004024BD">
        <w:rPr>
          <w:rFonts w:ascii="Arial" w:hAnsi="Arial" w:cs="Arial"/>
          <w:b/>
          <w:sz w:val="24"/>
          <w:szCs w:val="24"/>
        </w:rPr>
        <w:t>Өрийн удирдлагын боломжит хувилбарууд</w:t>
      </w:r>
    </w:p>
    <w:p w14:paraId="776E9795" w14:textId="77777777" w:rsidR="00EB07AB" w:rsidRPr="004024BD" w:rsidRDefault="00EB07AB" w:rsidP="00EB07AB">
      <w:pPr>
        <w:pStyle w:val="NoSpacing"/>
        <w:spacing w:after="0" w:line="240" w:lineRule="auto"/>
        <w:rPr>
          <w:rFonts w:ascii="Arial" w:hAnsi="Arial" w:cs="Arial"/>
          <w:sz w:val="24"/>
          <w:szCs w:val="24"/>
        </w:rPr>
      </w:pPr>
    </w:p>
    <w:p w14:paraId="68BA15C7" w14:textId="77777777" w:rsidR="00EB07AB" w:rsidRPr="004024BD" w:rsidRDefault="00EB07AB" w:rsidP="00EB07AB">
      <w:pPr>
        <w:pStyle w:val="NoSpacing"/>
        <w:spacing w:after="0" w:line="240" w:lineRule="auto"/>
        <w:rPr>
          <w:rFonts w:ascii="Arial" w:hAnsi="Arial" w:cs="Arial"/>
          <w:sz w:val="24"/>
          <w:szCs w:val="24"/>
        </w:rPr>
        <w:sectPr w:rsidR="00EB07AB" w:rsidRPr="004024BD" w:rsidSect="002A2F8C">
          <w:type w:val="continuous"/>
          <w:pgSz w:w="11906" w:h="16838" w:code="9"/>
          <w:pgMar w:top="1134" w:right="851" w:bottom="851" w:left="1247" w:header="720" w:footer="720" w:gutter="0"/>
          <w:cols w:space="720"/>
          <w:titlePg/>
          <w:docGrid w:linePitch="360"/>
        </w:sectPr>
      </w:pPr>
    </w:p>
    <w:p w14:paraId="45E26DCD" w14:textId="77777777" w:rsidR="00EB07AB" w:rsidRPr="004024BD" w:rsidRDefault="00EB07AB" w:rsidP="00EB07AB">
      <w:pPr>
        <w:pStyle w:val="NoSpacing"/>
        <w:spacing w:after="0" w:line="240" w:lineRule="auto"/>
        <w:ind w:firstLine="720"/>
        <w:rPr>
          <w:rFonts w:ascii="Arial" w:hAnsi="Arial" w:cs="Arial"/>
          <w:sz w:val="24"/>
          <w:szCs w:val="24"/>
        </w:rPr>
      </w:pPr>
      <w:r w:rsidRPr="004024BD">
        <w:rPr>
          <w:rFonts w:ascii="Arial" w:hAnsi="Arial" w:cs="Arial"/>
          <w:sz w:val="24"/>
          <w:szCs w:val="24"/>
        </w:rPr>
        <w:t>Загварт олгож байгаа боломжийн дагуу дараах 4 боломжит стратегийг сонгон авч, үр дүнд шинжилгээ хийлээ. Үүнд:</w:t>
      </w:r>
    </w:p>
    <w:p w14:paraId="1A9B2AA4" w14:textId="77777777" w:rsidR="00EB07AB" w:rsidRPr="004024BD" w:rsidRDefault="00EB07AB" w:rsidP="00EB07AB">
      <w:pPr>
        <w:pStyle w:val="NoSpacing"/>
        <w:spacing w:after="0" w:line="240" w:lineRule="auto"/>
        <w:ind w:firstLine="720"/>
        <w:rPr>
          <w:rFonts w:ascii="Arial" w:hAnsi="Arial" w:cs="Arial"/>
          <w:sz w:val="24"/>
          <w:szCs w:val="24"/>
        </w:rPr>
      </w:pPr>
    </w:p>
    <w:p w14:paraId="4DBF8EE6"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b/>
          <w:sz w:val="24"/>
          <w:szCs w:val="24"/>
        </w:rPr>
        <w:t>Стратеги 1 (S1)</w:t>
      </w:r>
      <w:r w:rsidRPr="004024BD">
        <w:rPr>
          <w:rFonts w:ascii="Arial" w:hAnsi="Arial" w:cs="Arial"/>
          <w:sz w:val="24"/>
          <w:szCs w:val="24"/>
        </w:rPr>
        <w:t>:Санхүүжилтийн хэрэгцээг санхүүжүүлэхээр жилд төсөл, хөтөлбөрийн зээл шинээр авч ашиглаж, дотоод бонд арилжаалах;</w:t>
      </w:r>
    </w:p>
    <w:p w14:paraId="48D9E5AC"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b/>
          <w:sz w:val="24"/>
          <w:szCs w:val="24"/>
        </w:rPr>
        <w:t>Стратеги 2 (S2):</w:t>
      </w:r>
      <w:r w:rsidRPr="004024BD">
        <w:rPr>
          <w:rFonts w:ascii="Arial" w:hAnsi="Arial" w:cs="Arial"/>
          <w:sz w:val="24"/>
          <w:szCs w:val="24"/>
        </w:rPr>
        <w:t>Санхүүжилтийн хэрэгцээг төслийн хөнгөлөлттэй нөхцөлтэй зээл, төсвийн алдагдал санхүүжүүлэхээр арилжааны нөхцөлтэй зээл шинээр авч ашиглаж, дотоод бондын арилжаагаар санхүүжүүлэх;</w:t>
      </w:r>
    </w:p>
    <w:p w14:paraId="6A4CC256"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b/>
          <w:sz w:val="24"/>
          <w:szCs w:val="24"/>
        </w:rPr>
        <w:t>Стратеги 3 (S3):</w:t>
      </w:r>
      <w:r w:rsidRPr="004024BD">
        <w:rPr>
          <w:rFonts w:ascii="Arial" w:hAnsi="Arial" w:cs="Arial"/>
          <w:sz w:val="24"/>
          <w:szCs w:val="24"/>
        </w:rPr>
        <w:t>Санхүүжилтийн хэрэгцээг санхүүжүүлэхээр хөтөлбөрийн зээл авч ашиглахгүй, төслийн зээл шинээр авч ашиглах болон дотоод бонд арилжаалан санхүүжүүлэх;</w:t>
      </w:r>
    </w:p>
    <w:p w14:paraId="1DC848B1"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b/>
          <w:sz w:val="24"/>
          <w:szCs w:val="24"/>
        </w:rPr>
        <w:t>Стратеги 4 (S4):</w:t>
      </w:r>
      <w:r w:rsidRPr="004024BD">
        <w:rPr>
          <w:rFonts w:ascii="Arial" w:hAnsi="Arial" w:cs="Arial"/>
          <w:sz w:val="24"/>
          <w:szCs w:val="24"/>
        </w:rPr>
        <w:t>Төсөл хөтөлбөрүүдийг хөгжлийн үнэт цаас арилжаалан санхүүжүүлэх, санхүүжилтийн хэрэгцээг дотоод бонд арилжаалан санхүүжүүлэх.</w:t>
      </w:r>
    </w:p>
    <w:p w14:paraId="279973E9" w14:textId="77777777" w:rsidR="00EB07AB" w:rsidRPr="004024BD" w:rsidRDefault="00EB07AB" w:rsidP="00EB07AB">
      <w:pPr>
        <w:pStyle w:val="NoSpacing"/>
        <w:spacing w:after="0" w:line="240" w:lineRule="auto"/>
        <w:rPr>
          <w:rFonts w:ascii="Arial" w:hAnsi="Arial" w:cs="Arial"/>
          <w:sz w:val="24"/>
          <w:szCs w:val="24"/>
        </w:rPr>
      </w:pPr>
    </w:p>
    <w:p w14:paraId="450081AB" w14:textId="77777777" w:rsidR="00EB07AB" w:rsidRPr="004024BD" w:rsidRDefault="00EB07AB" w:rsidP="00EB07AB">
      <w:pPr>
        <w:pStyle w:val="NoSpacing"/>
        <w:spacing w:after="0" w:line="240" w:lineRule="auto"/>
        <w:rPr>
          <w:rFonts w:ascii="Arial" w:hAnsi="Arial" w:cs="Arial"/>
          <w:i/>
          <w:sz w:val="24"/>
          <w:szCs w:val="24"/>
        </w:rPr>
      </w:pPr>
      <w:r w:rsidRPr="004024BD">
        <w:rPr>
          <w:rFonts w:ascii="Arial" w:hAnsi="Arial" w:cs="Arial"/>
          <w:i/>
          <w:sz w:val="24"/>
          <w:szCs w:val="24"/>
        </w:rPr>
        <w:t xml:space="preserve">  Хүснэгт №11: Засгийн газрын өрийн дунд хугацааны зардал, эрсдэлийн үзүүлэлтүүд</w:t>
      </w:r>
    </w:p>
    <w:tbl>
      <w:tblPr>
        <w:tblW w:w="9270" w:type="dxa"/>
        <w:tblInd w:w="175" w:type="dxa"/>
        <w:tblLayout w:type="fixed"/>
        <w:tblLook w:val="04A0" w:firstRow="1" w:lastRow="0" w:firstColumn="1" w:lastColumn="0" w:noHBand="0" w:noVBand="1"/>
      </w:tblPr>
      <w:tblGrid>
        <w:gridCol w:w="1080"/>
        <w:gridCol w:w="4860"/>
        <w:gridCol w:w="810"/>
        <w:gridCol w:w="630"/>
        <w:gridCol w:w="630"/>
        <w:gridCol w:w="630"/>
        <w:gridCol w:w="630"/>
      </w:tblGrid>
      <w:tr w:rsidR="00EB07AB" w:rsidRPr="004024BD" w14:paraId="1716DDAC" w14:textId="77777777" w:rsidTr="00FD3D1D">
        <w:trPr>
          <w:trHeight w:val="185"/>
        </w:trPr>
        <w:tc>
          <w:tcPr>
            <w:tcW w:w="594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3F7B56A9"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Эрсдэлийн индикатор</w:t>
            </w:r>
          </w:p>
        </w:tc>
        <w:tc>
          <w:tcPr>
            <w:tcW w:w="810" w:type="dxa"/>
            <w:tcBorders>
              <w:top w:val="single" w:sz="4" w:space="0" w:color="auto"/>
              <w:left w:val="nil"/>
              <w:bottom w:val="single" w:sz="4" w:space="0" w:color="auto"/>
              <w:right w:val="single" w:sz="4" w:space="0" w:color="auto"/>
            </w:tcBorders>
            <w:shd w:val="clear" w:color="000000" w:fill="305496"/>
            <w:noWrap/>
            <w:vAlign w:val="center"/>
            <w:hideMark/>
          </w:tcPr>
          <w:p w14:paraId="79B86D8E" w14:textId="77777777" w:rsidR="00EB07AB" w:rsidRPr="004024BD" w:rsidRDefault="00EB07AB" w:rsidP="00FD3D1D">
            <w:pPr>
              <w:spacing w:after="0" w:line="240" w:lineRule="auto"/>
              <w:jc w:val="center"/>
              <w:rPr>
                <w:rFonts w:ascii="Arial" w:eastAsia="Times New Roman" w:hAnsi="Arial" w:cs="Arial"/>
                <w:color w:val="FFFFFF" w:themeColor="background1"/>
                <w:sz w:val="20"/>
                <w:szCs w:val="20"/>
                <w:lang w:val="mn-MN"/>
              </w:rPr>
            </w:pPr>
            <w:r w:rsidRPr="004024BD">
              <w:rPr>
                <w:rFonts w:ascii="Arial" w:eastAsia="Times New Roman" w:hAnsi="Arial" w:cs="Arial"/>
                <w:color w:val="FFFFFF" w:themeColor="background1"/>
                <w:sz w:val="20"/>
                <w:szCs w:val="20"/>
                <w:lang w:val="mn-MN"/>
              </w:rPr>
              <w:t>2021</w:t>
            </w:r>
          </w:p>
        </w:tc>
        <w:tc>
          <w:tcPr>
            <w:tcW w:w="2520" w:type="dxa"/>
            <w:gridSpan w:val="4"/>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334FCA76" w14:textId="77777777" w:rsidR="00EB07AB" w:rsidRPr="004024BD" w:rsidRDefault="00EB07AB" w:rsidP="00FD3D1D">
            <w:pPr>
              <w:spacing w:after="0" w:line="240" w:lineRule="auto"/>
              <w:jc w:val="center"/>
              <w:rPr>
                <w:rFonts w:ascii="Arial" w:eastAsia="Times New Roman" w:hAnsi="Arial" w:cs="Arial"/>
                <w:color w:val="FFFFFF" w:themeColor="background1"/>
                <w:sz w:val="20"/>
                <w:szCs w:val="20"/>
                <w:lang w:val="mn-MN"/>
              </w:rPr>
            </w:pPr>
            <w:r w:rsidRPr="004024BD">
              <w:rPr>
                <w:rFonts w:ascii="Arial" w:eastAsia="Times New Roman" w:hAnsi="Arial" w:cs="Arial"/>
                <w:color w:val="FFFFFF" w:themeColor="background1"/>
                <w:sz w:val="20"/>
                <w:szCs w:val="20"/>
                <w:lang w:val="mn-MN"/>
              </w:rPr>
              <w:t>2025</w:t>
            </w:r>
          </w:p>
        </w:tc>
      </w:tr>
      <w:tr w:rsidR="00EB07AB" w:rsidRPr="004024BD" w14:paraId="2417C0A3" w14:textId="77777777" w:rsidTr="00FD3D1D">
        <w:trPr>
          <w:trHeight w:val="185"/>
        </w:trPr>
        <w:tc>
          <w:tcPr>
            <w:tcW w:w="5940" w:type="dxa"/>
            <w:gridSpan w:val="2"/>
            <w:vMerge/>
            <w:tcBorders>
              <w:top w:val="single" w:sz="4" w:space="0" w:color="auto"/>
              <w:left w:val="single" w:sz="4" w:space="0" w:color="auto"/>
              <w:bottom w:val="single" w:sz="4" w:space="0" w:color="000000"/>
              <w:right w:val="single" w:sz="4" w:space="0" w:color="000000"/>
            </w:tcBorders>
            <w:vAlign w:val="center"/>
            <w:hideMark/>
          </w:tcPr>
          <w:p w14:paraId="6342C9ED" w14:textId="77777777" w:rsidR="00EB07AB" w:rsidRPr="004024BD" w:rsidRDefault="00EB07AB" w:rsidP="00FD3D1D">
            <w:pPr>
              <w:spacing w:after="0" w:line="240" w:lineRule="auto"/>
              <w:rPr>
                <w:rFonts w:ascii="Arial" w:eastAsia="Times New Roman" w:hAnsi="Arial" w:cs="Arial"/>
                <w:sz w:val="20"/>
                <w:szCs w:val="20"/>
                <w:lang w:val="mn-MN"/>
              </w:rPr>
            </w:pPr>
          </w:p>
        </w:tc>
        <w:tc>
          <w:tcPr>
            <w:tcW w:w="810" w:type="dxa"/>
            <w:tcBorders>
              <w:top w:val="nil"/>
              <w:left w:val="nil"/>
              <w:bottom w:val="single" w:sz="4" w:space="0" w:color="auto"/>
              <w:right w:val="single" w:sz="4" w:space="0" w:color="auto"/>
            </w:tcBorders>
            <w:shd w:val="clear" w:color="000000" w:fill="D9D9D9"/>
            <w:noWrap/>
            <w:vAlign w:val="bottom"/>
            <w:hideMark/>
          </w:tcPr>
          <w:p w14:paraId="14497D04"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Суурь</w:t>
            </w:r>
          </w:p>
        </w:tc>
        <w:tc>
          <w:tcPr>
            <w:tcW w:w="630" w:type="dxa"/>
            <w:tcBorders>
              <w:top w:val="nil"/>
              <w:left w:val="nil"/>
              <w:bottom w:val="single" w:sz="4" w:space="0" w:color="auto"/>
              <w:right w:val="single" w:sz="4" w:space="0" w:color="auto"/>
            </w:tcBorders>
            <w:shd w:val="clear" w:color="000000" w:fill="D9D9D9"/>
            <w:noWrap/>
            <w:vAlign w:val="bottom"/>
            <w:hideMark/>
          </w:tcPr>
          <w:p w14:paraId="624DB5DA"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S1</w:t>
            </w:r>
          </w:p>
        </w:tc>
        <w:tc>
          <w:tcPr>
            <w:tcW w:w="630" w:type="dxa"/>
            <w:tcBorders>
              <w:top w:val="nil"/>
              <w:left w:val="nil"/>
              <w:bottom w:val="single" w:sz="4" w:space="0" w:color="auto"/>
              <w:right w:val="single" w:sz="4" w:space="0" w:color="auto"/>
            </w:tcBorders>
            <w:shd w:val="clear" w:color="000000" w:fill="D9D9D9"/>
            <w:noWrap/>
            <w:vAlign w:val="bottom"/>
            <w:hideMark/>
          </w:tcPr>
          <w:p w14:paraId="5A465D43"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S2</w:t>
            </w:r>
          </w:p>
        </w:tc>
        <w:tc>
          <w:tcPr>
            <w:tcW w:w="630" w:type="dxa"/>
            <w:tcBorders>
              <w:top w:val="nil"/>
              <w:left w:val="nil"/>
              <w:bottom w:val="single" w:sz="4" w:space="0" w:color="auto"/>
              <w:right w:val="single" w:sz="4" w:space="0" w:color="auto"/>
            </w:tcBorders>
            <w:shd w:val="clear" w:color="000000" w:fill="D9D9D9"/>
            <w:noWrap/>
            <w:vAlign w:val="bottom"/>
            <w:hideMark/>
          </w:tcPr>
          <w:p w14:paraId="5874B0D9"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S3</w:t>
            </w:r>
          </w:p>
        </w:tc>
        <w:tc>
          <w:tcPr>
            <w:tcW w:w="630" w:type="dxa"/>
            <w:tcBorders>
              <w:top w:val="nil"/>
              <w:left w:val="nil"/>
              <w:bottom w:val="single" w:sz="4" w:space="0" w:color="auto"/>
              <w:right w:val="single" w:sz="4" w:space="0" w:color="auto"/>
            </w:tcBorders>
            <w:shd w:val="clear" w:color="000000" w:fill="D9D9D9"/>
            <w:noWrap/>
            <w:vAlign w:val="bottom"/>
            <w:hideMark/>
          </w:tcPr>
          <w:p w14:paraId="0FB1690D"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S4</w:t>
            </w:r>
          </w:p>
        </w:tc>
      </w:tr>
      <w:tr w:rsidR="00EB07AB" w:rsidRPr="004024BD" w14:paraId="1476576F" w14:textId="77777777" w:rsidTr="00FD3D1D">
        <w:trPr>
          <w:trHeight w:val="185"/>
        </w:trPr>
        <w:tc>
          <w:tcPr>
            <w:tcW w:w="5940"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3E45E76F" w14:textId="77777777" w:rsidR="00EB07AB" w:rsidRPr="004024BD" w:rsidRDefault="00EB07AB" w:rsidP="00FD3D1D">
            <w:pPr>
              <w:spacing w:after="0" w:line="240" w:lineRule="auto"/>
              <w:rPr>
                <w:rFonts w:ascii="Arial" w:eastAsia="Times New Roman" w:hAnsi="Arial" w:cs="Arial"/>
                <w:sz w:val="20"/>
                <w:szCs w:val="20"/>
                <w:lang w:val="mn-MN"/>
              </w:rPr>
            </w:pPr>
            <w:r w:rsidRPr="004024BD">
              <w:rPr>
                <w:rFonts w:ascii="Arial" w:eastAsia="Times New Roman" w:hAnsi="Arial" w:cs="Arial"/>
                <w:sz w:val="20"/>
                <w:szCs w:val="20"/>
                <w:lang w:val="mn-MN"/>
              </w:rPr>
              <w:t xml:space="preserve">ДНБ-д эзлэх Засгийн газрын өр нэрлэсэн дүнгээр </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1ACC6C56"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62.6</w:t>
            </w:r>
          </w:p>
        </w:tc>
        <w:tc>
          <w:tcPr>
            <w:tcW w:w="630" w:type="dxa"/>
            <w:tcBorders>
              <w:top w:val="nil"/>
              <w:left w:val="nil"/>
              <w:bottom w:val="single" w:sz="4" w:space="0" w:color="auto"/>
              <w:right w:val="single" w:sz="4" w:space="0" w:color="auto"/>
            </w:tcBorders>
            <w:shd w:val="clear" w:color="auto" w:fill="auto"/>
            <w:noWrap/>
            <w:vAlign w:val="bottom"/>
          </w:tcPr>
          <w:p w14:paraId="2F64DF02"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61.7</w:t>
            </w:r>
          </w:p>
        </w:tc>
        <w:tc>
          <w:tcPr>
            <w:tcW w:w="630" w:type="dxa"/>
            <w:tcBorders>
              <w:top w:val="nil"/>
              <w:left w:val="nil"/>
              <w:bottom w:val="single" w:sz="4" w:space="0" w:color="auto"/>
              <w:right w:val="single" w:sz="4" w:space="0" w:color="auto"/>
            </w:tcBorders>
            <w:shd w:val="clear" w:color="auto" w:fill="auto"/>
            <w:noWrap/>
            <w:vAlign w:val="bottom"/>
          </w:tcPr>
          <w:p w14:paraId="4BCC194E"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69.0</w:t>
            </w:r>
          </w:p>
        </w:tc>
        <w:tc>
          <w:tcPr>
            <w:tcW w:w="630" w:type="dxa"/>
            <w:tcBorders>
              <w:top w:val="nil"/>
              <w:left w:val="nil"/>
              <w:bottom w:val="single" w:sz="4" w:space="0" w:color="auto"/>
              <w:right w:val="single" w:sz="4" w:space="0" w:color="auto"/>
            </w:tcBorders>
            <w:shd w:val="clear" w:color="auto" w:fill="auto"/>
            <w:noWrap/>
            <w:vAlign w:val="bottom"/>
          </w:tcPr>
          <w:p w14:paraId="6FF3AD69"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65.6</w:t>
            </w:r>
          </w:p>
        </w:tc>
        <w:tc>
          <w:tcPr>
            <w:tcW w:w="630" w:type="dxa"/>
            <w:tcBorders>
              <w:top w:val="nil"/>
              <w:left w:val="nil"/>
              <w:bottom w:val="single" w:sz="4" w:space="0" w:color="auto"/>
              <w:right w:val="single" w:sz="4" w:space="0" w:color="auto"/>
            </w:tcBorders>
            <w:shd w:val="clear" w:color="auto" w:fill="auto"/>
            <w:noWrap/>
            <w:vAlign w:val="bottom"/>
          </w:tcPr>
          <w:p w14:paraId="72507A72"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62.0</w:t>
            </w:r>
          </w:p>
        </w:tc>
      </w:tr>
      <w:tr w:rsidR="00EB07AB" w:rsidRPr="004024BD" w14:paraId="547E2800" w14:textId="77777777" w:rsidTr="00FD3D1D">
        <w:trPr>
          <w:trHeight w:val="185"/>
        </w:trPr>
        <w:tc>
          <w:tcPr>
            <w:tcW w:w="5940"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1B050615" w14:textId="77777777" w:rsidR="00EB07AB" w:rsidRPr="004024BD" w:rsidRDefault="00EB07AB" w:rsidP="00FD3D1D">
            <w:pPr>
              <w:spacing w:after="0" w:line="240" w:lineRule="auto"/>
              <w:rPr>
                <w:rFonts w:ascii="Arial" w:eastAsia="Times New Roman" w:hAnsi="Arial" w:cs="Arial"/>
                <w:sz w:val="20"/>
                <w:szCs w:val="20"/>
                <w:lang w:val="mn-MN"/>
              </w:rPr>
            </w:pPr>
            <w:r w:rsidRPr="004024BD">
              <w:rPr>
                <w:rFonts w:ascii="Arial" w:eastAsia="Times New Roman" w:hAnsi="Arial" w:cs="Arial"/>
                <w:sz w:val="20"/>
                <w:szCs w:val="20"/>
                <w:lang w:val="mn-MN"/>
              </w:rPr>
              <w:t>ДНБ-д эзлэх Засгийн газрын өр өнөөгийн үнэ цэнээр</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2AC7156B"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50.7</w:t>
            </w:r>
          </w:p>
        </w:tc>
        <w:tc>
          <w:tcPr>
            <w:tcW w:w="630" w:type="dxa"/>
            <w:tcBorders>
              <w:top w:val="nil"/>
              <w:left w:val="nil"/>
              <w:bottom w:val="single" w:sz="4" w:space="0" w:color="auto"/>
              <w:right w:val="single" w:sz="4" w:space="0" w:color="auto"/>
            </w:tcBorders>
            <w:shd w:val="clear" w:color="auto" w:fill="auto"/>
            <w:noWrap/>
            <w:vAlign w:val="bottom"/>
          </w:tcPr>
          <w:p w14:paraId="328D6FC8"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54.1</w:t>
            </w:r>
          </w:p>
        </w:tc>
        <w:tc>
          <w:tcPr>
            <w:tcW w:w="630" w:type="dxa"/>
            <w:tcBorders>
              <w:top w:val="nil"/>
              <w:left w:val="nil"/>
              <w:bottom w:val="single" w:sz="4" w:space="0" w:color="auto"/>
              <w:right w:val="single" w:sz="4" w:space="0" w:color="auto"/>
            </w:tcBorders>
            <w:shd w:val="clear" w:color="auto" w:fill="auto"/>
            <w:noWrap/>
            <w:vAlign w:val="bottom"/>
          </w:tcPr>
          <w:p w14:paraId="77061130"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60.6</w:t>
            </w:r>
          </w:p>
        </w:tc>
        <w:tc>
          <w:tcPr>
            <w:tcW w:w="630" w:type="dxa"/>
            <w:tcBorders>
              <w:top w:val="nil"/>
              <w:left w:val="nil"/>
              <w:bottom w:val="single" w:sz="4" w:space="0" w:color="auto"/>
              <w:right w:val="single" w:sz="4" w:space="0" w:color="auto"/>
            </w:tcBorders>
            <w:shd w:val="clear" w:color="auto" w:fill="auto"/>
            <w:noWrap/>
            <w:vAlign w:val="bottom"/>
          </w:tcPr>
          <w:p w14:paraId="3ECE4DDB"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58.4</w:t>
            </w:r>
          </w:p>
        </w:tc>
        <w:tc>
          <w:tcPr>
            <w:tcW w:w="630" w:type="dxa"/>
            <w:tcBorders>
              <w:top w:val="nil"/>
              <w:left w:val="nil"/>
              <w:bottom w:val="single" w:sz="4" w:space="0" w:color="auto"/>
              <w:right w:val="single" w:sz="4" w:space="0" w:color="auto"/>
            </w:tcBorders>
            <w:shd w:val="clear" w:color="auto" w:fill="auto"/>
            <w:noWrap/>
            <w:vAlign w:val="bottom"/>
          </w:tcPr>
          <w:p w14:paraId="0B8DA84C"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55.3</w:t>
            </w:r>
          </w:p>
        </w:tc>
      </w:tr>
      <w:tr w:rsidR="00EB07AB" w:rsidRPr="004024BD" w14:paraId="292CC5EF" w14:textId="77777777" w:rsidTr="00FD3D1D">
        <w:trPr>
          <w:trHeight w:val="185"/>
        </w:trPr>
        <w:tc>
          <w:tcPr>
            <w:tcW w:w="5940" w:type="dxa"/>
            <w:gridSpan w:val="2"/>
            <w:tcBorders>
              <w:top w:val="single" w:sz="4" w:space="0" w:color="auto"/>
              <w:left w:val="single" w:sz="4" w:space="0" w:color="auto"/>
              <w:bottom w:val="nil"/>
              <w:right w:val="nil"/>
            </w:tcBorders>
            <w:shd w:val="clear" w:color="000000" w:fill="FFFFFF"/>
            <w:noWrap/>
            <w:vAlign w:val="bottom"/>
            <w:hideMark/>
          </w:tcPr>
          <w:p w14:paraId="06D17147" w14:textId="77777777" w:rsidR="00EB07AB" w:rsidRPr="004024BD" w:rsidRDefault="00EB07AB" w:rsidP="00FD3D1D">
            <w:pPr>
              <w:spacing w:after="0" w:line="240" w:lineRule="auto"/>
              <w:rPr>
                <w:rFonts w:ascii="Arial" w:eastAsia="Times New Roman" w:hAnsi="Arial" w:cs="Arial"/>
                <w:sz w:val="20"/>
                <w:szCs w:val="20"/>
                <w:lang w:val="mn-MN"/>
              </w:rPr>
            </w:pPr>
            <w:r w:rsidRPr="004024BD">
              <w:rPr>
                <w:rFonts w:ascii="Arial" w:eastAsia="Times New Roman" w:hAnsi="Arial" w:cs="Arial"/>
                <w:sz w:val="20"/>
                <w:szCs w:val="20"/>
                <w:lang w:val="mn-MN"/>
              </w:rPr>
              <w:t>Хүүгийн төлбөрийн ДНБ-нд эзлэх хувь</w:t>
            </w:r>
          </w:p>
        </w:tc>
        <w:tc>
          <w:tcPr>
            <w:tcW w:w="810" w:type="dxa"/>
            <w:tcBorders>
              <w:top w:val="nil"/>
              <w:left w:val="single" w:sz="4" w:space="0" w:color="auto"/>
              <w:bottom w:val="nil"/>
              <w:right w:val="single" w:sz="4" w:space="0" w:color="auto"/>
            </w:tcBorders>
            <w:shd w:val="clear" w:color="auto" w:fill="auto"/>
            <w:noWrap/>
            <w:vAlign w:val="bottom"/>
          </w:tcPr>
          <w:p w14:paraId="2BF36C23"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1.8</w:t>
            </w:r>
          </w:p>
        </w:tc>
        <w:tc>
          <w:tcPr>
            <w:tcW w:w="630" w:type="dxa"/>
            <w:tcBorders>
              <w:top w:val="nil"/>
              <w:left w:val="nil"/>
              <w:bottom w:val="nil"/>
              <w:right w:val="single" w:sz="4" w:space="0" w:color="auto"/>
            </w:tcBorders>
            <w:shd w:val="clear" w:color="auto" w:fill="auto"/>
            <w:noWrap/>
            <w:vAlign w:val="bottom"/>
          </w:tcPr>
          <w:p w14:paraId="34884F29"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2.4</w:t>
            </w:r>
          </w:p>
        </w:tc>
        <w:tc>
          <w:tcPr>
            <w:tcW w:w="630" w:type="dxa"/>
            <w:tcBorders>
              <w:top w:val="nil"/>
              <w:left w:val="nil"/>
              <w:bottom w:val="nil"/>
              <w:right w:val="single" w:sz="4" w:space="0" w:color="auto"/>
            </w:tcBorders>
            <w:shd w:val="clear" w:color="auto" w:fill="auto"/>
            <w:noWrap/>
            <w:vAlign w:val="bottom"/>
          </w:tcPr>
          <w:p w14:paraId="6C51A691"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2.5</w:t>
            </w:r>
          </w:p>
        </w:tc>
        <w:tc>
          <w:tcPr>
            <w:tcW w:w="630" w:type="dxa"/>
            <w:tcBorders>
              <w:top w:val="nil"/>
              <w:left w:val="nil"/>
              <w:bottom w:val="nil"/>
              <w:right w:val="single" w:sz="4" w:space="0" w:color="auto"/>
            </w:tcBorders>
            <w:shd w:val="clear" w:color="auto" w:fill="auto"/>
            <w:noWrap/>
            <w:vAlign w:val="bottom"/>
          </w:tcPr>
          <w:p w14:paraId="136FFE3E"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2.8</w:t>
            </w:r>
          </w:p>
        </w:tc>
        <w:tc>
          <w:tcPr>
            <w:tcW w:w="630" w:type="dxa"/>
            <w:tcBorders>
              <w:top w:val="nil"/>
              <w:left w:val="nil"/>
              <w:bottom w:val="nil"/>
              <w:right w:val="single" w:sz="4" w:space="0" w:color="auto"/>
            </w:tcBorders>
            <w:shd w:val="clear" w:color="auto" w:fill="auto"/>
            <w:noWrap/>
            <w:vAlign w:val="bottom"/>
          </w:tcPr>
          <w:p w14:paraId="4A7943D9"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2.9</w:t>
            </w:r>
          </w:p>
        </w:tc>
      </w:tr>
      <w:tr w:rsidR="00EB07AB" w:rsidRPr="004024BD" w14:paraId="08F4BCD5" w14:textId="77777777" w:rsidTr="00FD3D1D">
        <w:trPr>
          <w:trHeight w:val="195"/>
        </w:trPr>
        <w:tc>
          <w:tcPr>
            <w:tcW w:w="5940" w:type="dxa"/>
            <w:gridSpan w:val="2"/>
            <w:tcBorders>
              <w:top w:val="single" w:sz="4" w:space="0" w:color="auto"/>
              <w:left w:val="single" w:sz="4" w:space="0" w:color="auto"/>
              <w:bottom w:val="double" w:sz="6" w:space="0" w:color="auto"/>
              <w:right w:val="nil"/>
            </w:tcBorders>
            <w:shd w:val="clear" w:color="000000" w:fill="FFFFFF"/>
            <w:noWrap/>
            <w:vAlign w:val="bottom"/>
            <w:hideMark/>
          </w:tcPr>
          <w:p w14:paraId="35B21D18" w14:textId="77777777" w:rsidR="00EB07AB" w:rsidRPr="004024BD" w:rsidRDefault="00EB07AB" w:rsidP="00FD3D1D">
            <w:pPr>
              <w:spacing w:after="0" w:line="240" w:lineRule="auto"/>
              <w:rPr>
                <w:rFonts w:ascii="Arial" w:eastAsia="Times New Roman" w:hAnsi="Arial" w:cs="Arial"/>
                <w:sz w:val="20"/>
                <w:szCs w:val="20"/>
                <w:lang w:val="mn-MN"/>
              </w:rPr>
            </w:pPr>
            <w:r w:rsidRPr="004024BD">
              <w:rPr>
                <w:rFonts w:ascii="Arial" w:eastAsia="Times New Roman" w:hAnsi="Arial" w:cs="Arial"/>
                <w:sz w:val="20"/>
                <w:szCs w:val="20"/>
                <w:lang w:val="mn-MN"/>
              </w:rPr>
              <w:t>Жигнэсэн дундаж хүү /хувь/</w:t>
            </w:r>
          </w:p>
        </w:tc>
        <w:tc>
          <w:tcPr>
            <w:tcW w:w="810" w:type="dxa"/>
            <w:tcBorders>
              <w:top w:val="single" w:sz="4" w:space="0" w:color="auto"/>
              <w:left w:val="single" w:sz="4" w:space="0" w:color="auto"/>
              <w:bottom w:val="double" w:sz="6" w:space="0" w:color="auto"/>
              <w:right w:val="single" w:sz="4" w:space="0" w:color="auto"/>
            </w:tcBorders>
            <w:shd w:val="clear" w:color="auto" w:fill="auto"/>
            <w:noWrap/>
            <w:vAlign w:val="bottom"/>
          </w:tcPr>
          <w:p w14:paraId="0D12EF33"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3.0</w:t>
            </w:r>
          </w:p>
        </w:tc>
        <w:tc>
          <w:tcPr>
            <w:tcW w:w="630" w:type="dxa"/>
            <w:tcBorders>
              <w:top w:val="single" w:sz="4" w:space="0" w:color="auto"/>
              <w:left w:val="nil"/>
              <w:bottom w:val="nil"/>
              <w:right w:val="single" w:sz="4" w:space="0" w:color="auto"/>
            </w:tcBorders>
            <w:shd w:val="clear" w:color="auto" w:fill="auto"/>
            <w:noWrap/>
            <w:vAlign w:val="bottom"/>
          </w:tcPr>
          <w:p w14:paraId="2A6F23F6"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4.7</w:t>
            </w:r>
          </w:p>
        </w:tc>
        <w:tc>
          <w:tcPr>
            <w:tcW w:w="630" w:type="dxa"/>
            <w:tcBorders>
              <w:top w:val="single" w:sz="4" w:space="0" w:color="auto"/>
              <w:left w:val="nil"/>
              <w:bottom w:val="nil"/>
              <w:right w:val="single" w:sz="4" w:space="0" w:color="auto"/>
            </w:tcBorders>
            <w:shd w:val="clear" w:color="auto" w:fill="auto"/>
            <w:noWrap/>
            <w:vAlign w:val="bottom"/>
          </w:tcPr>
          <w:p w14:paraId="04C36332"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4.5</w:t>
            </w:r>
          </w:p>
        </w:tc>
        <w:tc>
          <w:tcPr>
            <w:tcW w:w="630" w:type="dxa"/>
            <w:tcBorders>
              <w:top w:val="single" w:sz="4" w:space="0" w:color="auto"/>
              <w:left w:val="nil"/>
              <w:bottom w:val="nil"/>
              <w:right w:val="single" w:sz="4" w:space="0" w:color="auto"/>
            </w:tcBorders>
            <w:shd w:val="clear" w:color="auto" w:fill="auto"/>
            <w:noWrap/>
            <w:vAlign w:val="bottom"/>
          </w:tcPr>
          <w:p w14:paraId="56C12BF0"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5.1</w:t>
            </w:r>
          </w:p>
        </w:tc>
        <w:tc>
          <w:tcPr>
            <w:tcW w:w="630" w:type="dxa"/>
            <w:tcBorders>
              <w:top w:val="single" w:sz="4" w:space="0" w:color="auto"/>
              <w:left w:val="nil"/>
              <w:bottom w:val="nil"/>
              <w:right w:val="single" w:sz="4" w:space="0" w:color="auto"/>
            </w:tcBorders>
            <w:shd w:val="clear" w:color="auto" w:fill="auto"/>
            <w:noWrap/>
            <w:vAlign w:val="bottom"/>
          </w:tcPr>
          <w:p w14:paraId="4BBF678F"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5.7</w:t>
            </w:r>
          </w:p>
        </w:tc>
      </w:tr>
      <w:tr w:rsidR="00EB07AB" w:rsidRPr="004024BD" w14:paraId="5CFC9903" w14:textId="77777777" w:rsidTr="00FD3D1D">
        <w:trPr>
          <w:trHeight w:val="195"/>
        </w:trPr>
        <w:tc>
          <w:tcPr>
            <w:tcW w:w="1080" w:type="dxa"/>
            <w:vMerge w:val="restart"/>
            <w:tcBorders>
              <w:top w:val="nil"/>
              <w:left w:val="single" w:sz="4" w:space="0" w:color="auto"/>
              <w:bottom w:val="double" w:sz="6" w:space="0" w:color="000000"/>
              <w:right w:val="single" w:sz="4" w:space="0" w:color="auto"/>
            </w:tcBorders>
            <w:shd w:val="clear" w:color="000000" w:fill="FFFFFF"/>
            <w:vAlign w:val="center"/>
            <w:hideMark/>
          </w:tcPr>
          <w:p w14:paraId="2FFCEFBA"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Дахин санхүү-</w:t>
            </w:r>
          </w:p>
          <w:p w14:paraId="15857CD4"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жилтийн эрсдэл</w:t>
            </w:r>
          </w:p>
        </w:tc>
        <w:tc>
          <w:tcPr>
            <w:tcW w:w="4860" w:type="dxa"/>
            <w:tcBorders>
              <w:top w:val="nil"/>
              <w:left w:val="nil"/>
              <w:bottom w:val="single" w:sz="4" w:space="0" w:color="auto"/>
              <w:right w:val="nil"/>
            </w:tcBorders>
            <w:shd w:val="clear" w:color="000000" w:fill="FFFFFF"/>
            <w:noWrap/>
            <w:vAlign w:val="bottom"/>
          </w:tcPr>
          <w:p w14:paraId="3D1284B7" w14:textId="77777777" w:rsidR="00EB07AB" w:rsidRPr="004024BD" w:rsidRDefault="00EB07AB" w:rsidP="00FD3D1D">
            <w:pPr>
              <w:spacing w:after="0" w:line="240" w:lineRule="auto"/>
              <w:rPr>
                <w:rFonts w:ascii="Arial" w:eastAsia="Times New Roman" w:hAnsi="Arial" w:cs="Arial"/>
                <w:sz w:val="20"/>
                <w:szCs w:val="20"/>
                <w:lang w:val="mn-MN"/>
              </w:rPr>
            </w:pPr>
            <w:r w:rsidRPr="004024BD">
              <w:rPr>
                <w:rFonts w:ascii="Arial" w:eastAsia="Times New Roman" w:hAnsi="Arial" w:cs="Arial"/>
                <w:sz w:val="20"/>
                <w:szCs w:val="20"/>
                <w:lang w:val="mn-MN"/>
              </w:rPr>
              <w:t>Богино хугацаанд төлөгдөх өр /Нийт өрд эзлэх хувь/</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0A7A4710"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4.9</w:t>
            </w:r>
          </w:p>
        </w:tc>
        <w:tc>
          <w:tcPr>
            <w:tcW w:w="630" w:type="dxa"/>
            <w:tcBorders>
              <w:top w:val="double" w:sz="6" w:space="0" w:color="auto"/>
              <w:left w:val="nil"/>
              <w:bottom w:val="single" w:sz="4" w:space="0" w:color="auto"/>
              <w:right w:val="single" w:sz="4" w:space="0" w:color="auto"/>
            </w:tcBorders>
            <w:shd w:val="clear" w:color="auto" w:fill="auto"/>
            <w:noWrap/>
            <w:vAlign w:val="bottom"/>
          </w:tcPr>
          <w:p w14:paraId="1004D77B"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13.5</w:t>
            </w:r>
          </w:p>
        </w:tc>
        <w:tc>
          <w:tcPr>
            <w:tcW w:w="630" w:type="dxa"/>
            <w:tcBorders>
              <w:top w:val="double" w:sz="6" w:space="0" w:color="auto"/>
              <w:left w:val="nil"/>
              <w:bottom w:val="single" w:sz="4" w:space="0" w:color="auto"/>
              <w:right w:val="single" w:sz="4" w:space="0" w:color="auto"/>
            </w:tcBorders>
            <w:shd w:val="clear" w:color="auto" w:fill="auto"/>
            <w:noWrap/>
            <w:vAlign w:val="bottom"/>
          </w:tcPr>
          <w:p w14:paraId="24CB32AC"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11.8</w:t>
            </w:r>
          </w:p>
        </w:tc>
        <w:tc>
          <w:tcPr>
            <w:tcW w:w="630" w:type="dxa"/>
            <w:tcBorders>
              <w:top w:val="double" w:sz="6" w:space="0" w:color="auto"/>
              <w:left w:val="nil"/>
              <w:bottom w:val="single" w:sz="4" w:space="0" w:color="auto"/>
              <w:right w:val="single" w:sz="4" w:space="0" w:color="auto"/>
            </w:tcBorders>
            <w:shd w:val="clear" w:color="auto" w:fill="auto"/>
            <w:noWrap/>
            <w:vAlign w:val="bottom"/>
          </w:tcPr>
          <w:p w14:paraId="2263B1AD"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14.1</w:t>
            </w:r>
          </w:p>
        </w:tc>
        <w:tc>
          <w:tcPr>
            <w:tcW w:w="630" w:type="dxa"/>
            <w:tcBorders>
              <w:top w:val="double" w:sz="6" w:space="0" w:color="auto"/>
              <w:left w:val="nil"/>
              <w:bottom w:val="single" w:sz="4" w:space="0" w:color="auto"/>
              <w:right w:val="single" w:sz="4" w:space="0" w:color="auto"/>
            </w:tcBorders>
            <w:shd w:val="clear" w:color="auto" w:fill="auto"/>
            <w:noWrap/>
            <w:vAlign w:val="bottom"/>
          </w:tcPr>
          <w:p w14:paraId="65A3EE5F"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14.2</w:t>
            </w:r>
          </w:p>
        </w:tc>
      </w:tr>
      <w:tr w:rsidR="00EB07AB" w:rsidRPr="004024BD" w14:paraId="45EE6C9A" w14:textId="77777777" w:rsidTr="00FD3D1D">
        <w:trPr>
          <w:trHeight w:val="185"/>
        </w:trPr>
        <w:tc>
          <w:tcPr>
            <w:tcW w:w="1080" w:type="dxa"/>
            <w:vMerge/>
            <w:tcBorders>
              <w:top w:val="nil"/>
              <w:left w:val="single" w:sz="4" w:space="0" w:color="auto"/>
              <w:bottom w:val="double" w:sz="6" w:space="0" w:color="000000"/>
              <w:right w:val="single" w:sz="4" w:space="0" w:color="auto"/>
            </w:tcBorders>
            <w:vAlign w:val="center"/>
            <w:hideMark/>
          </w:tcPr>
          <w:p w14:paraId="6186F482" w14:textId="77777777" w:rsidR="00EB07AB" w:rsidRPr="004024BD" w:rsidRDefault="00EB07AB" w:rsidP="00FD3D1D">
            <w:pPr>
              <w:spacing w:after="0" w:line="240" w:lineRule="auto"/>
              <w:rPr>
                <w:rFonts w:ascii="Arial" w:eastAsia="Times New Roman" w:hAnsi="Arial" w:cs="Arial"/>
                <w:sz w:val="20"/>
                <w:szCs w:val="20"/>
                <w:lang w:val="mn-MN"/>
              </w:rPr>
            </w:pPr>
          </w:p>
        </w:tc>
        <w:tc>
          <w:tcPr>
            <w:tcW w:w="4860" w:type="dxa"/>
            <w:tcBorders>
              <w:top w:val="nil"/>
              <w:left w:val="nil"/>
              <w:bottom w:val="single" w:sz="4" w:space="0" w:color="auto"/>
              <w:right w:val="nil"/>
            </w:tcBorders>
            <w:shd w:val="clear" w:color="000000" w:fill="FFFFFF"/>
            <w:noWrap/>
            <w:vAlign w:val="bottom"/>
          </w:tcPr>
          <w:p w14:paraId="115F1910" w14:textId="77777777" w:rsidR="00EB07AB" w:rsidRPr="004024BD" w:rsidRDefault="00EB07AB" w:rsidP="00FD3D1D">
            <w:pPr>
              <w:spacing w:after="0" w:line="240" w:lineRule="auto"/>
              <w:rPr>
                <w:rFonts w:ascii="Arial" w:eastAsia="Times New Roman" w:hAnsi="Arial" w:cs="Arial"/>
                <w:sz w:val="20"/>
                <w:szCs w:val="20"/>
                <w:lang w:val="mn-MN"/>
              </w:rPr>
            </w:pPr>
            <w:r w:rsidRPr="004024BD">
              <w:rPr>
                <w:rFonts w:ascii="Arial" w:eastAsia="Times New Roman" w:hAnsi="Arial" w:cs="Arial"/>
                <w:sz w:val="20"/>
                <w:szCs w:val="20"/>
                <w:lang w:val="mn-MN"/>
              </w:rPr>
              <w:t>Богино хугацаанд төлөгдөх өр /ДНБ-д эзлэх хувь/</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08513BA1"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4.0</w:t>
            </w:r>
          </w:p>
        </w:tc>
        <w:tc>
          <w:tcPr>
            <w:tcW w:w="630" w:type="dxa"/>
            <w:tcBorders>
              <w:top w:val="nil"/>
              <w:left w:val="nil"/>
              <w:bottom w:val="single" w:sz="4" w:space="0" w:color="auto"/>
              <w:right w:val="single" w:sz="4" w:space="0" w:color="auto"/>
            </w:tcBorders>
            <w:shd w:val="clear" w:color="auto" w:fill="auto"/>
            <w:noWrap/>
            <w:vAlign w:val="bottom"/>
          </w:tcPr>
          <w:p w14:paraId="2F694789"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8.3</w:t>
            </w:r>
          </w:p>
        </w:tc>
        <w:tc>
          <w:tcPr>
            <w:tcW w:w="630" w:type="dxa"/>
            <w:tcBorders>
              <w:top w:val="nil"/>
              <w:left w:val="nil"/>
              <w:bottom w:val="single" w:sz="4" w:space="0" w:color="auto"/>
              <w:right w:val="single" w:sz="4" w:space="0" w:color="auto"/>
            </w:tcBorders>
            <w:shd w:val="clear" w:color="auto" w:fill="auto"/>
            <w:noWrap/>
            <w:vAlign w:val="bottom"/>
          </w:tcPr>
          <w:p w14:paraId="74EA2783"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8.2</w:t>
            </w:r>
          </w:p>
        </w:tc>
        <w:tc>
          <w:tcPr>
            <w:tcW w:w="630" w:type="dxa"/>
            <w:tcBorders>
              <w:top w:val="nil"/>
              <w:left w:val="nil"/>
              <w:bottom w:val="single" w:sz="4" w:space="0" w:color="auto"/>
              <w:right w:val="single" w:sz="4" w:space="0" w:color="auto"/>
            </w:tcBorders>
            <w:shd w:val="clear" w:color="auto" w:fill="auto"/>
            <w:noWrap/>
            <w:vAlign w:val="bottom"/>
          </w:tcPr>
          <w:p w14:paraId="55FAB723"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9.2</w:t>
            </w:r>
          </w:p>
        </w:tc>
        <w:tc>
          <w:tcPr>
            <w:tcW w:w="630" w:type="dxa"/>
            <w:tcBorders>
              <w:top w:val="nil"/>
              <w:left w:val="nil"/>
              <w:bottom w:val="single" w:sz="4" w:space="0" w:color="auto"/>
              <w:right w:val="single" w:sz="4" w:space="0" w:color="auto"/>
            </w:tcBorders>
            <w:shd w:val="clear" w:color="auto" w:fill="auto"/>
            <w:noWrap/>
            <w:vAlign w:val="bottom"/>
          </w:tcPr>
          <w:p w14:paraId="0E509EF2"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8.8</w:t>
            </w:r>
          </w:p>
        </w:tc>
      </w:tr>
      <w:tr w:rsidR="00EB07AB" w:rsidRPr="004024BD" w14:paraId="6D2E1959" w14:textId="77777777" w:rsidTr="00FD3D1D">
        <w:trPr>
          <w:trHeight w:val="185"/>
        </w:trPr>
        <w:tc>
          <w:tcPr>
            <w:tcW w:w="1080" w:type="dxa"/>
            <w:vMerge/>
            <w:tcBorders>
              <w:top w:val="nil"/>
              <w:left w:val="single" w:sz="4" w:space="0" w:color="auto"/>
              <w:bottom w:val="double" w:sz="6" w:space="0" w:color="000000"/>
              <w:right w:val="single" w:sz="4" w:space="0" w:color="auto"/>
            </w:tcBorders>
            <w:vAlign w:val="center"/>
            <w:hideMark/>
          </w:tcPr>
          <w:p w14:paraId="66C91CBF" w14:textId="77777777" w:rsidR="00EB07AB" w:rsidRPr="004024BD" w:rsidRDefault="00EB07AB" w:rsidP="00FD3D1D">
            <w:pPr>
              <w:spacing w:after="0" w:line="240" w:lineRule="auto"/>
              <w:rPr>
                <w:rFonts w:ascii="Arial" w:eastAsia="Times New Roman" w:hAnsi="Arial" w:cs="Arial"/>
                <w:sz w:val="20"/>
                <w:szCs w:val="20"/>
                <w:lang w:val="mn-MN"/>
              </w:rPr>
            </w:pPr>
          </w:p>
        </w:tc>
        <w:tc>
          <w:tcPr>
            <w:tcW w:w="4860" w:type="dxa"/>
            <w:tcBorders>
              <w:top w:val="nil"/>
              <w:left w:val="nil"/>
              <w:bottom w:val="single" w:sz="4" w:space="0" w:color="auto"/>
              <w:right w:val="nil"/>
            </w:tcBorders>
            <w:shd w:val="clear" w:color="000000" w:fill="FFFFFF"/>
            <w:noWrap/>
            <w:vAlign w:val="bottom"/>
          </w:tcPr>
          <w:p w14:paraId="4C60AC32" w14:textId="77777777" w:rsidR="00EB07AB" w:rsidRPr="004024BD" w:rsidRDefault="00EB07AB" w:rsidP="00FD3D1D">
            <w:pPr>
              <w:spacing w:after="0" w:line="240" w:lineRule="auto"/>
              <w:rPr>
                <w:rFonts w:ascii="Arial" w:eastAsia="Times New Roman" w:hAnsi="Arial" w:cs="Arial"/>
                <w:sz w:val="20"/>
                <w:szCs w:val="20"/>
                <w:lang w:val="mn-MN"/>
              </w:rPr>
            </w:pPr>
            <w:r w:rsidRPr="004024BD">
              <w:rPr>
                <w:rFonts w:ascii="Arial" w:eastAsia="Times New Roman" w:hAnsi="Arial" w:cs="Arial"/>
                <w:sz w:val="20"/>
                <w:szCs w:val="20"/>
                <w:lang w:val="mn-MN"/>
              </w:rPr>
              <w:t xml:space="preserve"> Гадаад өрийн эргэн төлөгдөх дундаж хугацаа /жил/</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33BAC7B7"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8.6</w:t>
            </w:r>
          </w:p>
        </w:tc>
        <w:tc>
          <w:tcPr>
            <w:tcW w:w="630" w:type="dxa"/>
            <w:tcBorders>
              <w:top w:val="nil"/>
              <w:left w:val="nil"/>
              <w:bottom w:val="single" w:sz="4" w:space="0" w:color="auto"/>
              <w:right w:val="single" w:sz="4" w:space="0" w:color="auto"/>
            </w:tcBorders>
            <w:shd w:val="clear" w:color="auto" w:fill="auto"/>
            <w:noWrap/>
            <w:vAlign w:val="bottom"/>
          </w:tcPr>
          <w:p w14:paraId="1F8C913F"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7.8</w:t>
            </w:r>
          </w:p>
        </w:tc>
        <w:tc>
          <w:tcPr>
            <w:tcW w:w="630" w:type="dxa"/>
            <w:tcBorders>
              <w:top w:val="nil"/>
              <w:left w:val="nil"/>
              <w:bottom w:val="single" w:sz="4" w:space="0" w:color="auto"/>
              <w:right w:val="single" w:sz="4" w:space="0" w:color="auto"/>
            </w:tcBorders>
            <w:shd w:val="clear" w:color="auto" w:fill="auto"/>
            <w:noWrap/>
            <w:vAlign w:val="bottom"/>
          </w:tcPr>
          <w:p w14:paraId="6EACE896"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7.6</w:t>
            </w:r>
          </w:p>
        </w:tc>
        <w:tc>
          <w:tcPr>
            <w:tcW w:w="630" w:type="dxa"/>
            <w:tcBorders>
              <w:top w:val="nil"/>
              <w:left w:val="nil"/>
              <w:bottom w:val="single" w:sz="4" w:space="0" w:color="auto"/>
              <w:right w:val="single" w:sz="4" w:space="0" w:color="auto"/>
            </w:tcBorders>
            <w:shd w:val="clear" w:color="auto" w:fill="auto"/>
            <w:noWrap/>
            <w:vAlign w:val="bottom"/>
          </w:tcPr>
          <w:p w14:paraId="7A63C65D"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7.4</w:t>
            </w:r>
          </w:p>
        </w:tc>
        <w:tc>
          <w:tcPr>
            <w:tcW w:w="630" w:type="dxa"/>
            <w:tcBorders>
              <w:top w:val="nil"/>
              <w:left w:val="nil"/>
              <w:bottom w:val="single" w:sz="4" w:space="0" w:color="auto"/>
              <w:right w:val="single" w:sz="4" w:space="0" w:color="auto"/>
            </w:tcBorders>
            <w:shd w:val="clear" w:color="auto" w:fill="auto"/>
            <w:noWrap/>
            <w:vAlign w:val="bottom"/>
          </w:tcPr>
          <w:p w14:paraId="60BDD1FF"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7.6</w:t>
            </w:r>
          </w:p>
        </w:tc>
      </w:tr>
      <w:tr w:rsidR="00EB07AB" w:rsidRPr="004024BD" w14:paraId="28678B42" w14:textId="77777777" w:rsidTr="00FD3D1D">
        <w:trPr>
          <w:trHeight w:val="185"/>
        </w:trPr>
        <w:tc>
          <w:tcPr>
            <w:tcW w:w="1080" w:type="dxa"/>
            <w:vMerge/>
            <w:tcBorders>
              <w:top w:val="nil"/>
              <w:left w:val="single" w:sz="4" w:space="0" w:color="auto"/>
              <w:bottom w:val="double" w:sz="6" w:space="0" w:color="000000"/>
              <w:right w:val="single" w:sz="4" w:space="0" w:color="auto"/>
            </w:tcBorders>
            <w:vAlign w:val="center"/>
            <w:hideMark/>
          </w:tcPr>
          <w:p w14:paraId="1C8F52E3" w14:textId="77777777" w:rsidR="00EB07AB" w:rsidRPr="004024BD" w:rsidRDefault="00EB07AB" w:rsidP="00FD3D1D">
            <w:pPr>
              <w:spacing w:after="0" w:line="240" w:lineRule="auto"/>
              <w:rPr>
                <w:rFonts w:ascii="Arial" w:eastAsia="Times New Roman" w:hAnsi="Arial" w:cs="Arial"/>
                <w:sz w:val="20"/>
                <w:szCs w:val="20"/>
                <w:lang w:val="mn-MN"/>
              </w:rPr>
            </w:pPr>
          </w:p>
        </w:tc>
        <w:tc>
          <w:tcPr>
            <w:tcW w:w="4860" w:type="dxa"/>
            <w:tcBorders>
              <w:top w:val="nil"/>
              <w:left w:val="nil"/>
              <w:bottom w:val="single" w:sz="4" w:space="0" w:color="auto"/>
              <w:right w:val="nil"/>
            </w:tcBorders>
            <w:shd w:val="clear" w:color="000000" w:fill="FFFFFF"/>
            <w:noWrap/>
            <w:vAlign w:val="bottom"/>
          </w:tcPr>
          <w:p w14:paraId="416B8324" w14:textId="77777777" w:rsidR="00EB07AB" w:rsidRPr="004024BD" w:rsidRDefault="00EB07AB" w:rsidP="00FD3D1D">
            <w:pPr>
              <w:spacing w:after="0" w:line="240" w:lineRule="auto"/>
              <w:rPr>
                <w:rFonts w:ascii="Arial" w:eastAsia="Times New Roman" w:hAnsi="Arial" w:cs="Arial"/>
                <w:sz w:val="20"/>
                <w:szCs w:val="20"/>
                <w:lang w:val="mn-MN"/>
              </w:rPr>
            </w:pPr>
            <w:r w:rsidRPr="004024BD">
              <w:rPr>
                <w:rFonts w:ascii="Arial" w:eastAsia="Times New Roman" w:hAnsi="Arial" w:cs="Arial"/>
                <w:sz w:val="20"/>
                <w:szCs w:val="20"/>
                <w:lang w:val="mn-MN"/>
              </w:rPr>
              <w:t>Дотоод өрийн эргэн төлөгдөх дундаж хугацаа /жил/</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5492CA27"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3.2</w:t>
            </w:r>
          </w:p>
        </w:tc>
        <w:tc>
          <w:tcPr>
            <w:tcW w:w="630" w:type="dxa"/>
            <w:tcBorders>
              <w:top w:val="nil"/>
              <w:left w:val="nil"/>
              <w:bottom w:val="single" w:sz="4" w:space="0" w:color="auto"/>
              <w:right w:val="single" w:sz="4" w:space="0" w:color="auto"/>
            </w:tcBorders>
            <w:shd w:val="clear" w:color="auto" w:fill="auto"/>
            <w:noWrap/>
            <w:vAlign w:val="bottom"/>
          </w:tcPr>
          <w:p w14:paraId="1E621E59"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2.8</w:t>
            </w:r>
          </w:p>
        </w:tc>
        <w:tc>
          <w:tcPr>
            <w:tcW w:w="630" w:type="dxa"/>
            <w:tcBorders>
              <w:top w:val="nil"/>
              <w:left w:val="nil"/>
              <w:bottom w:val="single" w:sz="4" w:space="0" w:color="auto"/>
              <w:right w:val="single" w:sz="4" w:space="0" w:color="auto"/>
            </w:tcBorders>
            <w:shd w:val="clear" w:color="auto" w:fill="auto"/>
            <w:noWrap/>
            <w:vAlign w:val="bottom"/>
          </w:tcPr>
          <w:p w14:paraId="3533108D"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2.8</w:t>
            </w:r>
          </w:p>
        </w:tc>
        <w:tc>
          <w:tcPr>
            <w:tcW w:w="630" w:type="dxa"/>
            <w:tcBorders>
              <w:top w:val="nil"/>
              <w:left w:val="nil"/>
              <w:bottom w:val="single" w:sz="4" w:space="0" w:color="auto"/>
              <w:right w:val="single" w:sz="4" w:space="0" w:color="auto"/>
            </w:tcBorders>
            <w:shd w:val="clear" w:color="auto" w:fill="auto"/>
            <w:noWrap/>
            <w:vAlign w:val="bottom"/>
          </w:tcPr>
          <w:p w14:paraId="030ED15C"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2.8</w:t>
            </w:r>
          </w:p>
        </w:tc>
        <w:tc>
          <w:tcPr>
            <w:tcW w:w="630" w:type="dxa"/>
            <w:tcBorders>
              <w:top w:val="nil"/>
              <w:left w:val="nil"/>
              <w:bottom w:val="single" w:sz="4" w:space="0" w:color="auto"/>
              <w:right w:val="single" w:sz="4" w:space="0" w:color="auto"/>
            </w:tcBorders>
            <w:shd w:val="clear" w:color="auto" w:fill="auto"/>
            <w:noWrap/>
            <w:vAlign w:val="bottom"/>
          </w:tcPr>
          <w:p w14:paraId="6A826B9E"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3.1</w:t>
            </w:r>
          </w:p>
        </w:tc>
      </w:tr>
      <w:tr w:rsidR="00EB07AB" w:rsidRPr="004024BD" w14:paraId="0A9A5850" w14:textId="77777777" w:rsidTr="00FD3D1D">
        <w:trPr>
          <w:trHeight w:val="195"/>
        </w:trPr>
        <w:tc>
          <w:tcPr>
            <w:tcW w:w="1080" w:type="dxa"/>
            <w:vMerge/>
            <w:tcBorders>
              <w:top w:val="nil"/>
              <w:left w:val="single" w:sz="4" w:space="0" w:color="auto"/>
              <w:bottom w:val="double" w:sz="6" w:space="0" w:color="000000"/>
              <w:right w:val="single" w:sz="4" w:space="0" w:color="auto"/>
            </w:tcBorders>
            <w:vAlign w:val="center"/>
            <w:hideMark/>
          </w:tcPr>
          <w:p w14:paraId="27561AF3" w14:textId="77777777" w:rsidR="00EB07AB" w:rsidRPr="004024BD" w:rsidRDefault="00EB07AB" w:rsidP="00FD3D1D">
            <w:pPr>
              <w:spacing w:after="0" w:line="240" w:lineRule="auto"/>
              <w:rPr>
                <w:rFonts w:ascii="Arial" w:eastAsia="Times New Roman" w:hAnsi="Arial" w:cs="Arial"/>
                <w:sz w:val="20"/>
                <w:szCs w:val="20"/>
                <w:lang w:val="mn-MN"/>
              </w:rPr>
            </w:pPr>
          </w:p>
        </w:tc>
        <w:tc>
          <w:tcPr>
            <w:tcW w:w="4860" w:type="dxa"/>
            <w:tcBorders>
              <w:top w:val="nil"/>
              <w:left w:val="nil"/>
              <w:bottom w:val="single" w:sz="4" w:space="0" w:color="auto"/>
              <w:right w:val="nil"/>
            </w:tcBorders>
            <w:shd w:val="clear" w:color="000000" w:fill="FFFFFF"/>
            <w:noWrap/>
            <w:vAlign w:val="bottom"/>
          </w:tcPr>
          <w:p w14:paraId="2D54AA0E" w14:textId="77777777" w:rsidR="00EB07AB" w:rsidRPr="004024BD" w:rsidRDefault="00EB07AB" w:rsidP="00FD3D1D">
            <w:pPr>
              <w:spacing w:after="0" w:line="240" w:lineRule="auto"/>
              <w:rPr>
                <w:rFonts w:ascii="Arial" w:eastAsia="Times New Roman" w:hAnsi="Arial" w:cs="Arial"/>
                <w:sz w:val="20"/>
                <w:szCs w:val="20"/>
                <w:lang w:val="mn-MN"/>
              </w:rPr>
            </w:pPr>
            <w:r w:rsidRPr="004024BD">
              <w:rPr>
                <w:rFonts w:ascii="Arial" w:eastAsia="Times New Roman" w:hAnsi="Arial" w:cs="Arial"/>
                <w:sz w:val="20"/>
                <w:szCs w:val="20"/>
                <w:lang w:val="mn-MN"/>
              </w:rPr>
              <w:t>Нийт өрийн багцын эргэн төлөгдөх дундаж хугацаа /жил/</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240CA365"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8.4</w:t>
            </w:r>
          </w:p>
        </w:tc>
        <w:tc>
          <w:tcPr>
            <w:tcW w:w="630" w:type="dxa"/>
            <w:tcBorders>
              <w:top w:val="nil"/>
              <w:left w:val="nil"/>
              <w:bottom w:val="single" w:sz="4" w:space="0" w:color="auto"/>
              <w:right w:val="single" w:sz="4" w:space="0" w:color="auto"/>
            </w:tcBorders>
            <w:shd w:val="clear" w:color="auto" w:fill="auto"/>
            <w:noWrap/>
            <w:vAlign w:val="bottom"/>
          </w:tcPr>
          <w:p w14:paraId="13E51809"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7.0</w:t>
            </w:r>
          </w:p>
        </w:tc>
        <w:tc>
          <w:tcPr>
            <w:tcW w:w="630" w:type="dxa"/>
            <w:tcBorders>
              <w:top w:val="nil"/>
              <w:left w:val="nil"/>
              <w:bottom w:val="single" w:sz="4" w:space="0" w:color="auto"/>
              <w:right w:val="single" w:sz="4" w:space="0" w:color="auto"/>
            </w:tcBorders>
            <w:shd w:val="clear" w:color="auto" w:fill="auto"/>
            <w:noWrap/>
            <w:vAlign w:val="bottom"/>
          </w:tcPr>
          <w:p w14:paraId="56D7C98A"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7.0</w:t>
            </w:r>
          </w:p>
        </w:tc>
        <w:tc>
          <w:tcPr>
            <w:tcW w:w="630" w:type="dxa"/>
            <w:tcBorders>
              <w:top w:val="nil"/>
              <w:left w:val="nil"/>
              <w:bottom w:val="single" w:sz="4" w:space="0" w:color="auto"/>
              <w:right w:val="single" w:sz="4" w:space="0" w:color="auto"/>
            </w:tcBorders>
            <w:shd w:val="clear" w:color="auto" w:fill="auto"/>
            <w:noWrap/>
            <w:vAlign w:val="bottom"/>
          </w:tcPr>
          <w:p w14:paraId="2F5B9CC8"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6.5</w:t>
            </w:r>
          </w:p>
        </w:tc>
        <w:tc>
          <w:tcPr>
            <w:tcW w:w="630" w:type="dxa"/>
            <w:tcBorders>
              <w:top w:val="nil"/>
              <w:left w:val="nil"/>
              <w:bottom w:val="single" w:sz="4" w:space="0" w:color="auto"/>
              <w:right w:val="single" w:sz="4" w:space="0" w:color="auto"/>
            </w:tcBorders>
            <w:shd w:val="clear" w:color="auto" w:fill="auto"/>
            <w:noWrap/>
            <w:vAlign w:val="bottom"/>
          </w:tcPr>
          <w:p w14:paraId="689A82D7"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6.4</w:t>
            </w:r>
          </w:p>
        </w:tc>
      </w:tr>
      <w:tr w:rsidR="00EB07AB" w:rsidRPr="004024BD" w14:paraId="322AD443" w14:textId="77777777" w:rsidTr="00FD3D1D">
        <w:trPr>
          <w:trHeight w:val="195"/>
        </w:trPr>
        <w:tc>
          <w:tcPr>
            <w:tcW w:w="10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3A9F3F"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Хүүгийн түвшний эрсдэл</w:t>
            </w:r>
          </w:p>
        </w:tc>
        <w:tc>
          <w:tcPr>
            <w:tcW w:w="4860" w:type="dxa"/>
            <w:tcBorders>
              <w:top w:val="double" w:sz="6" w:space="0" w:color="auto"/>
              <w:left w:val="nil"/>
              <w:bottom w:val="nil"/>
              <w:right w:val="single" w:sz="4" w:space="0" w:color="auto"/>
            </w:tcBorders>
            <w:shd w:val="clear" w:color="000000" w:fill="FFFFFF"/>
            <w:noWrap/>
            <w:vAlign w:val="bottom"/>
          </w:tcPr>
          <w:p w14:paraId="09FC17D8" w14:textId="77777777" w:rsidR="00EB07AB" w:rsidRPr="004024BD" w:rsidRDefault="00EB07AB" w:rsidP="00FD3D1D">
            <w:pPr>
              <w:spacing w:after="0" w:line="240" w:lineRule="auto"/>
              <w:rPr>
                <w:rFonts w:ascii="Arial" w:eastAsia="Times New Roman" w:hAnsi="Arial" w:cs="Arial"/>
                <w:sz w:val="20"/>
                <w:szCs w:val="20"/>
                <w:lang w:val="mn-MN"/>
              </w:rPr>
            </w:pPr>
            <w:r w:rsidRPr="004024BD">
              <w:rPr>
                <w:rFonts w:ascii="Arial" w:eastAsia="Times New Roman" w:hAnsi="Arial" w:cs="Arial"/>
                <w:sz w:val="20"/>
                <w:szCs w:val="20"/>
                <w:lang w:val="mn-MN"/>
              </w:rPr>
              <w:t>Хүү шинэчлэгдэх дундаж хугацаа /жил/</w:t>
            </w:r>
          </w:p>
        </w:tc>
        <w:tc>
          <w:tcPr>
            <w:tcW w:w="810" w:type="dxa"/>
            <w:tcBorders>
              <w:top w:val="double" w:sz="6" w:space="0" w:color="auto"/>
              <w:left w:val="nil"/>
              <w:bottom w:val="nil"/>
              <w:right w:val="single" w:sz="4" w:space="0" w:color="auto"/>
            </w:tcBorders>
            <w:shd w:val="clear" w:color="auto" w:fill="auto"/>
            <w:noWrap/>
            <w:vAlign w:val="bottom"/>
          </w:tcPr>
          <w:p w14:paraId="272B78C9"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7.5</w:t>
            </w:r>
          </w:p>
        </w:tc>
        <w:tc>
          <w:tcPr>
            <w:tcW w:w="630" w:type="dxa"/>
            <w:tcBorders>
              <w:top w:val="double" w:sz="6" w:space="0" w:color="auto"/>
              <w:left w:val="nil"/>
              <w:bottom w:val="single" w:sz="4" w:space="0" w:color="auto"/>
              <w:right w:val="single" w:sz="4" w:space="0" w:color="auto"/>
            </w:tcBorders>
            <w:shd w:val="clear" w:color="auto" w:fill="auto"/>
            <w:noWrap/>
            <w:vAlign w:val="bottom"/>
          </w:tcPr>
          <w:p w14:paraId="49C57D27"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6.6</w:t>
            </w:r>
          </w:p>
        </w:tc>
        <w:tc>
          <w:tcPr>
            <w:tcW w:w="630" w:type="dxa"/>
            <w:tcBorders>
              <w:top w:val="double" w:sz="6" w:space="0" w:color="auto"/>
              <w:left w:val="nil"/>
              <w:bottom w:val="single" w:sz="4" w:space="0" w:color="auto"/>
              <w:right w:val="single" w:sz="4" w:space="0" w:color="auto"/>
            </w:tcBorders>
            <w:shd w:val="clear" w:color="auto" w:fill="auto"/>
            <w:noWrap/>
            <w:vAlign w:val="bottom"/>
          </w:tcPr>
          <w:p w14:paraId="385F1B9B"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6.7</w:t>
            </w:r>
          </w:p>
        </w:tc>
        <w:tc>
          <w:tcPr>
            <w:tcW w:w="630" w:type="dxa"/>
            <w:tcBorders>
              <w:top w:val="double" w:sz="6" w:space="0" w:color="auto"/>
              <w:left w:val="nil"/>
              <w:bottom w:val="single" w:sz="4" w:space="0" w:color="auto"/>
              <w:right w:val="single" w:sz="4" w:space="0" w:color="auto"/>
            </w:tcBorders>
            <w:shd w:val="clear" w:color="auto" w:fill="auto"/>
            <w:noWrap/>
            <w:vAlign w:val="bottom"/>
          </w:tcPr>
          <w:p w14:paraId="33B2EC5D"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6.1</w:t>
            </w:r>
          </w:p>
        </w:tc>
        <w:tc>
          <w:tcPr>
            <w:tcW w:w="630" w:type="dxa"/>
            <w:tcBorders>
              <w:top w:val="double" w:sz="6" w:space="0" w:color="auto"/>
              <w:left w:val="nil"/>
              <w:bottom w:val="single" w:sz="4" w:space="0" w:color="auto"/>
              <w:right w:val="single" w:sz="4" w:space="0" w:color="auto"/>
            </w:tcBorders>
            <w:shd w:val="clear" w:color="auto" w:fill="auto"/>
            <w:noWrap/>
            <w:vAlign w:val="bottom"/>
          </w:tcPr>
          <w:p w14:paraId="72228A91"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6.0</w:t>
            </w:r>
          </w:p>
        </w:tc>
      </w:tr>
      <w:tr w:rsidR="00EB07AB" w:rsidRPr="004024BD" w14:paraId="2B21B512" w14:textId="77777777" w:rsidTr="00FD3D1D">
        <w:trPr>
          <w:trHeight w:val="185"/>
        </w:trPr>
        <w:tc>
          <w:tcPr>
            <w:tcW w:w="1080" w:type="dxa"/>
            <w:vMerge/>
            <w:tcBorders>
              <w:top w:val="nil"/>
              <w:left w:val="single" w:sz="4" w:space="0" w:color="auto"/>
              <w:bottom w:val="single" w:sz="4" w:space="0" w:color="000000"/>
              <w:right w:val="single" w:sz="4" w:space="0" w:color="auto"/>
            </w:tcBorders>
            <w:vAlign w:val="center"/>
            <w:hideMark/>
          </w:tcPr>
          <w:p w14:paraId="301DE449" w14:textId="77777777" w:rsidR="00EB07AB" w:rsidRPr="004024BD" w:rsidRDefault="00EB07AB" w:rsidP="00FD3D1D">
            <w:pPr>
              <w:spacing w:after="0" w:line="240" w:lineRule="auto"/>
              <w:rPr>
                <w:rFonts w:ascii="Arial" w:eastAsia="Times New Roman" w:hAnsi="Arial" w:cs="Arial"/>
                <w:sz w:val="20"/>
                <w:szCs w:val="20"/>
                <w:lang w:val="mn-MN"/>
              </w:rPr>
            </w:pPr>
          </w:p>
        </w:tc>
        <w:tc>
          <w:tcPr>
            <w:tcW w:w="4860" w:type="dxa"/>
            <w:tcBorders>
              <w:top w:val="single" w:sz="4" w:space="0" w:color="auto"/>
              <w:left w:val="nil"/>
              <w:bottom w:val="single" w:sz="4" w:space="0" w:color="auto"/>
              <w:right w:val="single" w:sz="4" w:space="0" w:color="auto"/>
            </w:tcBorders>
            <w:shd w:val="clear" w:color="000000" w:fill="FFFFFF"/>
            <w:noWrap/>
            <w:vAlign w:val="bottom"/>
          </w:tcPr>
          <w:p w14:paraId="05CB851D" w14:textId="77777777" w:rsidR="00EB07AB" w:rsidRPr="004024BD" w:rsidRDefault="00EB07AB" w:rsidP="00FD3D1D">
            <w:pPr>
              <w:spacing w:after="0" w:line="240" w:lineRule="auto"/>
              <w:rPr>
                <w:rFonts w:ascii="Arial" w:eastAsia="Times New Roman" w:hAnsi="Arial" w:cs="Arial"/>
                <w:sz w:val="20"/>
                <w:szCs w:val="20"/>
                <w:lang w:val="mn-MN"/>
              </w:rPr>
            </w:pPr>
            <w:r w:rsidRPr="004024BD">
              <w:rPr>
                <w:rFonts w:ascii="Arial" w:eastAsia="Times New Roman" w:hAnsi="Arial" w:cs="Arial"/>
                <w:sz w:val="20"/>
                <w:szCs w:val="20"/>
                <w:lang w:val="mn-MN"/>
              </w:rPr>
              <w:t>1 жилд тогтмолжуулах өр /нийт өрд эзлэх хувь/</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6BBE4CAD"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18.2</w:t>
            </w:r>
          </w:p>
        </w:tc>
        <w:tc>
          <w:tcPr>
            <w:tcW w:w="630" w:type="dxa"/>
            <w:tcBorders>
              <w:top w:val="nil"/>
              <w:left w:val="nil"/>
              <w:bottom w:val="single" w:sz="4" w:space="0" w:color="auto"/>
              <w:right w:val="single" w:sz="4" w:space="0" w:color="auto"/>
            </w:tcBorders>
            <w:shd w:val="clear" w:color="auto" w:fill="auto"/>
            <w:noWrap/>
            <w:vAlign w:val="bottom"/>
          </w:tcPr>
          <w:p w14:paraId="7E9069F4"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19.5</w:t>
            </w:r>
          </w:p>
        </w:tc>
        <w:tc>
          <w:tcPr>
            <w:tcW w:w="630" w:type="dxa"/>
            <w:tcBorders>
              <w:top w:val="nil"/>
              <w:left w:val="nil"/>
              <w:bottom w:val="single" w:sz="4" w:space="0" w:color="auto"/>
              <w:right w:val="single" w:sz="4" w:space="0" w:color="auto"/>
            </w:tcBorders>
            <w:shd w:val="clear" w:color="auto" w:fill="auto"/>
            <w:noWrap/>
            <w:vAlign w:val="bottom"/>
          </w:tcPr>
          <w:p w14:paraId="053D9F12"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17.3</w:t>
            </w:r>
          </w:p>
        </w:tc>
        <w:tc>
          <w:tcPr>
            <w:tcW w:w="630" w:type="dxa"/>
            <w:tcBorders>
              <w:top w:val="nil"/>
              <w:left w:val="nil"/>
              <w:bottom w:val="single" w:sz="4" w:space="0" w:color="auto"/>
              <w:right w:val="single" w:sz="4" w:space="0" w:color="auto"/>
            </w:tcBorders>
            <w:shd w:val="clear" w:color="auto" w:fill="auto"/>
            <w:noWrap/>
            <w:vAlign w:val="bottom"/>
          </w:tcPr>
          <w:p w14:paraId="280C1888"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19.9</w:t>
            </w:r>
          </w:p>
        </w:tc>
        <w:tc>
          <w:tcPr>
            <w:tcW w:w="630" w:type="dxa"/>
            <w:tcBorders>
              <w:top w:val="nil"/>
              <w:left w:val="nil"/>
              <w:bottom w:val="single" w:sz="4" w:space="0" w:color="auto"/>
              <w:right w:val="single" w:sz="4" w:space="0" w:color="auto"/>
            </w:tcBorders>
            <w:shd w:val="clear" w:color="auto" w:fill="auto"/>
            <w:noWrap/>
            <w:vAlign w:val="bottom"/>
          </w:tcPr>
          <w:p w14:paraId="7315EC93"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19.9</w:t>
            </w:r>
          </w:p>
        </w:tc>
      </w:tr>
      <w:tr w:rsidR="00EB07AB" w:rsidRPr="004024BD" w14:paraId="2C76B988" w14:textId="77777777" w:rsidTr="00FD3D1D">
        <w:trPr>
          <w:trHeight w:val="185"/>
        </w:trPr>
        <w:tc>
          <w:tcPr>
            <w:tcW w:w="1080" w:type="dxa"/>
            <w:vMerge/>
            <w:tcBorders>
              <w:top w:val="nil"/>
              <w:left w:val="single" w:sz="4" w:space="0" w:color="auto"/>
              <w:bottom w:val="single" w:sz="4" w:space="0" w:color="000000"/>
              <w:right w:val="single" w:sz="4" w:space="0" w:color="auto"/>
            </w:tcBorders>
            <w:vAlign w:val="center"/>
            <w:hideMark/>
          </w:tcPr>
          <w:p w14:paraId="472C3C25" w14:textId="77777777" w:rsidR="00EB07AB" w:rsidRPr="004024BD" w:rsidRDefault="00EB07AB" w:rsidP="00FD3D1D">
            <w:pPr>
              <w:spacing w:after="0" w:line="240" w:lineRule="auto"/>
              <w:rPr>
                <w:rFonts w:ascii="Arial" w:eastAsia="Times New Roman" w:hAnsi="Arial" w:cs="Arial"/>
                <w:sz w:val="20"/>
                <w:szCs w:val="20"/>
                <w:lang w:val="mn-MN"/>
              </w:rPr>
            </w:pPr>
          </w:p>
        </w:tc>
        <w:tc>
          <w:tcPr>
            <w:tcW w:w="4860" w:type="dxa"/>
            <w:tcBorders>
              <w:top w:val="nil"/>
              <w:left w:val="nil"/>
              <w:bottom w:val="single" w:sz="4" w:space="0" w:color="auto"/>
              <w:right w:val="single" w:sz="4" w:space="0" w:color="auto"/>
            </w:tcBorders>
            <w:shd w:val="clear" w:color="000000" w:fill="FFFFFF"/>
            <w:noWrap/>
            <w:vAlign w:val="bottom"/>
          </w:tcPr>
          <w:p w14:paraId="070C31A9" w14:textId="77777777" w:rsidR="00EB07AB" w:rsidRPr="004024BD" w:rsidRDefault="00EB07AB" w:rsidP="00FD3D1D">
            <w:pPr>
              <w:spacing w:after="0" w:line="240" w:lineRule="auto"/>
              <w:rPr>
                <w:rFonts w:ascii="Arial" w:eastAsia="Times New Roman" w:hAnsi="Arial" w:cs="Arial"/>
                <w:sz w:val="20"/>
                <w:szCs w:val="20"/>
                <w:lang w:val="mn-MN"/>
              </w:rPr>
            </w:pPr>
            <w:r w:rsidRPr="004024BD">
              <w:rPr>
                <w:rFonts w:ascii="Arial" w:eastAsia="Times New Roman" w:hAnsi="Arial" w:cs="Arial"/>
                <w:sz w:val="20"/>
                <w:szCs w:val="20"/>
                <w:lang w:val="mn-MN"/>
              </w:rPr>
              <w:t>Тогтмол хүүтэй зээл ба бонд /нийт өрд эзлэх хувь/</w:t>
            </w:r>
          </w:p>
        </w:tc>
        <w:tc>
          <w:tcPr>
            <w:tcW w:w="810" w:type="dxa"/>
            <w:tcBorders>
              <w:top w:val="nil"/>
              <w:left w:val="nil"/>
              <w:bottom w:val="single" w:sz="4" w:space="0" w:color="auto"/>
              <w:right w:val="single" w:sz="4" w:space="0" w:color="auto"/>
            </w:tcBorders>
            <w:shd w:val="clear" w:color="auto" w:fill="auto"/>
            <w:noWrap/>
            <w:vAlign w:val="bottom"/>
          </w:tcPr>
          <w:p w14:paraId="79D9C82E"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85.6</w:t>
            </w:r>
          </w:p>
        </w:tc>
        <w:tc>
          <w:tcPr>
            <w:tcW w:w="630" w:type="dxa"/>
            <w:tcBorders>
              <w:top w:val="nil"/>
              <w:left w:val="nil"/>
              <w:bottom w:val="single" w:sz="4" w:space="0" w:color="auto"/>
              <w:right w:val="single" w:sz="4" w:space="0" w:color="auto"/>
            </w:tcBorders>
            <w:shd w:val="clear" w:color="auto" w:fill="auto"/>
            <w:noWrap/>
            <w:vAlign w:val="bottom"/>
          </w:tcPr>
          <w:p w14:paraId="32E177DC"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93.3</w:t>
            </w:r>
          </w:p>
        </w:tc>
        <w:tc>
          <w:tcPr>
            <w:tcW w:w="630" w:type="dxa"/>
            <w:tcBorders>
              <w:top w:val="nil"/>
              <w:left w:val="nil"/>
              <w:bottom w:val="single" w:sz="4" w:space="0" w:color="auto"/>
              <w:right w:val="single" w:sz="4" w:space="0" w:color="auto"/>
            </w:tcBorders>
            <w:shd w:val="clear" w:color="auto" w:fill="auto"/>
            <w:noWrap/>
            <w:vAlign w:val="bottom"/>
          </w:tcPr>
          <w:p w14:paraId="0EC0032C"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93.9</w:t>
            </w:r>
          </w:p>
        </w:tc>
        <w:tc>
          <w:tcPr>
            <w:tcW w:w="630" w:type="dxa"/>
            <w:tcBorders>
              <w:top w:val="nil"/>
              <w:left w:val="nil"/>
              <w:bottom w:val="single" w:sz="4" w:space="0" w:color="auto"/>
              <w:right w:val="single" w:sz="4" w:space="0" w:color="auto"/>
            </w:tcBorders>
            <w:shd w:val="clear" w:color="auto" w:fill="auto"/>
            <w:noWrap/>
            <w:vAlign w:val="bottom"/>
          </w:tcPr>
          <w:p w14:paraId="77467710"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93.5</w:t>
            </w:r>
          </w:p>
        </w:tc>
        <w:tc>
          <w:tcPr>
            <w:tcW w:w="630" w:type="dxa"/>
            <w:tcBorders>
              <w:top w:val="nil"/>
              <w:left w:val="nil"/>
              <w:bottom w:val="single" w:sz="4" w:space="0" w:color="auto"/>
              <w:right w:val="single" w:sz="4" w:space="0" w:color="auto"/>
            </w:tcBorders>
            <w:shd w:val="clear" w:color="auto" w:fill="auto"/>
            <w:noWrap/>
            <w:vAlign w:val="bottom"/>
          </w:tcPr>
          <w:p w14:paraId="655296F9"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93.6</w:t>
            </w:r>
          </w:p>
        </w:tc>
      </w:tr>
      <w:tr w:rsidR="00EB07AB" w:rsidRPr="004024BD" w14:paraId="065BB43F" w14:textId="77777777" w:rsidTr="00FD3D1D">
        <w:trPr>
          <w:trHeight w:val="185"/>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61B85F89" w14:textId="77777777" w:rsidR="00EB07AB" w:rsidRPr="004024BD" w:rsidRDefault="00EB07AB" w:rsidP="00FD3D1D">
            <w:pPr>
              <w:spacing w:after="0" w:line="240" w:lineRule="auto"/>
              <w:jc w:val="center"/>
              <w:rPr>
                <w:rFonts w:ascii="Arial" w:eastAsia="Times New Roman" w:hAnsi="Arial" w:cs="Arial"/>
                <w:sz w:val="20"/>
                <w:szCs w:val="20"/>
                <w:lang w:val="mn-MN"/>
              </w:rPr>
            </w:pPr>
            <w:r w:rsidRPr="004024BD">
              <w:rPr>
                <w:rFonts w:ascii="Arial" w:eastAsia="Times New Roman" w:hAnsi="Arial" w:cs="Arial"/>
                <w:sz w:val="20"/>
                <w:szCs w:val="20"/>
                <w:lang w:val="mn-MN"/>
              </w:rPr>
              <w:t>Ханшийн эрсдэл</w:t>
            </w:r>
          </w:p>
        </w:tc>
        <w:tc>
          <w:tcPr>
            <w:tcW w:w="4860" w:type="dxa"/>
            <w:tcBorders>
              <w:top w:val="nil"/>
              <w:left w:val="nil"/>
              <w:bottom w:val="single" w:sz="4" w:space="0" w:color="auto"/>
              <w:right w:val="nil"/>
            </w:tcBorders>
            <w:shd w:val="clear" w:color="auto" w:fill="auto"/>
            <w:noWrap/>
            <w:vAlign w:val="bottom"/>
          </w:tcPr>
          <w:p w14:paraId="7935EF65" w14:textId="77777777" w:rsidR="00EB07AB" w:rsidRPr="004024BD" w:rsidRDefault="00EB07AB" w:rsidP="00FD3D1D">
            <w:pPr>
              <w:spacing w:after="0" w:line="240" w:lineRule="auto"/>
              <w:rPr>
                <w:rFonts w:ascii="Arial" w:eastAsia="Times New Roman" w:hAnsi="Arial" w:cs="Arial"/>
                <w:sz w:val="20"/>
                <w:szCs w:val="20"/>
                <w:lang w:val="mn-MN"/>
              </w:rPr>
            </w:pPr>
            <w:r w:rsidRPr="004024BD">
              <w:rPr>
                <w:rFonts w:ascii="Arial" w:eastAsia="Times New Roman" w:hAnsi="Arial" w:cs="Arial"/>
                <w:sz w:val="20"/>
                <w:szCs w:val="20"/>
                <w:lang w:val="mn-MN"/>
              </w:rPr>
              <w:t>Гадаад валютаар илэрхийлэгдсэн өр /нийт өрд эзлэх хувь/</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252DF3B9"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97.5</w:t>
            </w:r>
          </w:p>
        </w:tc>
        <w:tc>
          <w:tcPr>
            <w:tcW w:w="630" w:type="dxa"/>
            <w:tcBorders>
              <w:top w:val="nil"/>
              <w:left w:val="nil"/>
              <w:bottom w:val="single" w:sz="4" w:space="0" w:color="auto"/>
              <w:right w:val="single" w:sz="4" w:space="0" w:color="auto"/>
            </w:tcBorders>
            <w:shd w:val="clear" w:color="auto" w:fill="auto"/>
            <w:noWrap/>
            <w:vAlign w:val="bottom"/>
          </w:tcPr>
          <w:p w14:paraId="6EEBC7C3"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80.0</w:t>
            </w:r>
          </w:p>
        </w:tc>
        <w:tc>
          <w:tcPr>
            <w:tcW w:w="630" w:type="dxa"/>
            <w:tcBorders>
              <w:top w:val="nil"/>
              <w:left w:val="nil"/>
              <w:bottom w:val="single" w:sz="4" w:space="0" w:color="auto"/>
              <w:right w:val="single" w:sz="4" w:space="0" w:color="auto"/>
            </w:tcBorders>
            <w:shd w:val="clear" w:color="auto" w:fill="auto"/>
            <w:noWrap/>
            <w:vAlign w:val="bottom"/>
          </w:tcPr>
          <w:p w14:paraId="665B6F96"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85.0</w:t>
            </w:r>
          </w:p>
        </w:tc>
        <w:tc>
          <w:tcPr>
            <w:tcW w:w="630" w:type="dxa"/>
            <w:tcBorders>
              <w:top w:val="nil"/>
              <w:left w:val="nil"/>
              <w:bottom w:val="single" w:sz="4" w:space="0" w:color="auto"/>
              <w:right w:val="single" w:sz="4" w:space="0" w:color="auto"/>
            </w:tcBorders>
            <w:shd w:val="clear" w:color="auto" w:fill="auto"/>
            <w:noWrap/>
            <w:vAlign w:val="bottom"/>
          </w:tcPr>
          <w:p w14:paraId="5CD4AF1F"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76.6</w:t>
            </w:r>
          </w:p>
        </w:tc>
        <w:tc>
          <w:tcPr>
            <w:tcW w:w="630" w:type="dxa"/>
            <w:tcBorders>
              <w:top w:val="nil"/>
              <w:left w:val="nil"/>
              <w:bottom w:val="single" w:sz="4" w:space="0" w:color="auto"/>
              <w:right w:val="single" w:sz="4" w:space="0" w:color="auto"/>
            </w:tcBorders>
            <w:shd w:val="clear" w:color="auto" w:fill="auto"/>
            <w:noWrap/>
            <w:vAlign w:val="bottom"/>
          </w:tcPr>
          <w:p w14:paraId="664F2C19"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67.8</w:t>
            </w:r>
          </w:p>
        </w:tc>
      </w:tr>
      <w:tr w:rsidR="00EB07AB" w:rsidRPr="004024BD" w14:paraId="5505C456" w14:textId="77777777" w:rsidTr="00FD3D1D">
        <w:trPr>
          <w:trHeight w:val="185"/>
        </w:trPr>
        <w:tc>
          <w:tcPr>
            <w:tcW w:w="1080" w:type="dxa"/>
            <w:vMerge/>
            <w:tcBorders>
              <w:top w:val="nil"/>
              <w:left w:val="single" w:sz="4" w:space="0" w:color="auto"/>
              <w:bottom w:val="single" w:sz="4" w:space="0" w:color="000000"/>
              <w:right w:val="single" w:sz="4" w:space="0" w:color="auto"/>
            </w:tcBorders>
            <w:vAlign w:val="center"/>
            <w:hideMark/>
          </w:tcPr>
          <w:p w14:paraId="071E7D5A" w14:textId="77777777" w:rsidR="00EB07AB" w:rsidRPr="004024BD" w:rsidRDefault="00EB07AB" w:rsidP="00FD3D1D">
            <w:pPr>
              <w:spacing w:after="0" w:line="240" w:lineRule="auto"/>
              <w:rPr>
                <w:rFonts w:ascii="Arial" w:eastAsia="Times New Roman" w:hAnsi="Arial" w:cs="Arial"/>
                <w:sz w:val="20"/>
                <w:szCs w:val="20"/>
                <w:lang w:val="mn-MN"/>
              </w:rPr>
            </w:pPr>
          </w:p>
        </w:tc>
        <w:tc>
          <w:tcPr>
            <w:tcW w:w="4860" w:type="dxa"/>
            <w:tcBorders>
              <w:top w:val="nil"/>
              <w:left w:val="nil"/>
              <w:bottom w:val="single" w:sz="4" w:space="0" w:color="auto"/>
              <w:right w:val="nil"/>
            </w:tcBorders>
            <w:shd w:val="clear" w:color="auto" w:fill="auto"/>
            <w:noWrap/>
            <w:vAlign w:val="bottom"/>
          </w:tcPr>
          <w:p w14:paraId="37BB9C78" w14:textId="77777777" w:rsidR="00EB07AB" w:rsidRPr="004024BD" w:rsidRDefault="00EB07AB" w:rsidP="00FD3D1D">
            <w:pPr>
              <w:spacing w:after="0" w:line="240" w:lineRule="auto"/>
              <w:rPr>
                <w:rFonts w:ascii="Arial" w:eastAsia="Times New Roman" w:hAnsi="Arial" w:cs="Arial"/>
                <w:sz w:val="20"/>
                <w:szCs w:val="20"/>
                <w:lang w:val="mn-MN"/>
              </w:rPr>
            </w:pPr>
            <w:r w:rsidRPr="004024BD">
              <w:rPr>
                <w:rFonts w:ascii="Arial" w:eastAsia="Times New Roman" w:hAnsi="Arial" w:cs="Arial"/>
                <w:sz w:val="20"/>
                <w:szCs w:val="20"/>
                <w:lang w:val="mn-MN"/>
              </w:rPr>
              <w:t>Валютын нөөцөд эзлэх богино хугацаат гадаад өр /хувь/</w:t>
            </w:r>
          </w:p>
        </w:tc>
        <w:tc>
          <w:tcPr>
            <w:tcW w:w="810" w:type="dxa"/>
            <w:tcBorders>
              <w:top w:val="nil"/>
              <w:left w:val="single" w:sz="4" w:space="0" w:color="auto"/>
              <w:bottom w:val="single" w:sz="4" w:space="0" w:color="auto"/>
              <w:right w:val="single" w:sz="4" w:space="0" w:color="auto"/>
            </w:tcBorders>
            <w:shd w:val="clear" w:color="auto" w:fill="auto"/>
            <w:noWrap/>
            <w:vAlign w:val="bottom"/>
          </w:tcPr>
          <w:p w14:paraId="336E78F8"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9.5</w:t>
            </w:r>
          </w:p>
        </w:tc>
        <w:tc>
          <w:tcPr>
            <w:tcW w:w="630" w:type="dxa"/>
            <w:tcBorders>
              <w:top w:val="nil"/>
              <w:left w:val="nil"/>
              <w:bottom w:val="single" w:sz="4" w:space="0" w:color="auto"/>
              <w:right w:val="single" w:sz="4" w:space="0" w:color="auto"/>
            </w:tcBorders>
            <w:shd w:val="clear" w:color="auto" w:fill="auto"/>
            <w:noWrap/>
            <w:vAlign w:val="bottom"/>
          </w:tcPr>
          <w:p w14:paraId="30237F9C"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17.1</w:t>
            </w:r>
          </w:p>
        </w:tc>
        <w:tc>
          <w:tcPr>
            <w:tcW w:w="630" w:type="dxa"/>
            <w:tcBorders>
              <w:top w:val="nil"/>
              <w:left w:val="nil"/>
              <w:bottom w:val="single" w:sz="4" w:space="0" w:color="auto"/>
              <w:right w:val="single" w:sz="4" w:space="0" w:color="auto"/>
            </w:tcBorders>
            <w:shd w:val="clear" w:color="auto" w:fill="auto"/>
            <w:noWrap/>
            <w:vAlign w:val="bottom"/>
          </w:tcPr>
          <w:p w14:paraId="5CE36261"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19.0</w:t>
            </w:r>
          </w:p>
        </w:tc>
        <w:tc>
          <w:tcPr>
            <w:tcW w:w="630" w:type="dxa"/>
            <w:tcBorders>
              <w:top w:val="nil"/>
              <w:left w:val="nil"/>
              <w:bottom w:val="single" w:sz="4" w:space="0" w:color="auto"/>
              <w:right w:val="single" w:sz="4" w:space="0" w:color="auto"/>
            </w:tcBorders>
            <w:shd w:val="clear" w:color="auto" w:fill="auto"/>
            <w:noWrap/>
            <w:vAlign w:val="bottom"/>
          </w:tcPr>
          <w:p w14:paraId="1A4213DC"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17.1</w:t>
            </w:r>
          </w:p>
        </w:tc>
        <w:tc>
          <w:tcPr>
            <w:tcW w:w="630" w:type="dxa"/>
            <w:tcBorders>
              <w:top w:val="nil"/>
              <w:left w:val="nil"/>
              <w:bottom w:val="single" w:sz="4" w:space="0" w:color="auto"/>
              <w:right w:val="single" w:sz="4" w:space="0" w:color="auto"/>
            </w:tcBorders>
            <w:shd w:val="clear" w:color="auto" w:fill="auto"/>
            <w:noWrap/>
            <w:vAlign w:val="bottom"/>
          </w:tcPr>
          <w:p w14:paraId="7400929F" w14:textId="77777777" w:rsidR="00EB07AB" w:rsidRPr="004024BD" w:rsidRDefault="00EB07AB" w:rsidP="00FD3D1D">
            <w:pPr>
              <w:spacing w:after="0" w:line="240" w:lineRule="auto"/>
              <w:jc w:val="right"/>
              <w:rPr>
                <w:rFonts w:ascii="Arial" w:eastAsia="Times New Roman" w:hAnsi="Arial" w:cs="Arial"/>
                <w:sz w:val="20"/>
                <w:szCs w:val="20"/>
                <w:highlight w:val="yellow"/>
                <w:lang w:val="mn-MN"/>
              </w:rPr>
            </w:pPr>
            <w:r w:rsidRPr="004024BD">
              <w:rPr>
                <w:rFonts w:ascii="Arial" w:hAnsi="Arial" w:cs="Arial"/>
                <w:sz w:val="20"/>
                <w:szCs w:val="20"/>
                <w:lang w:val="mn-MN"/>
              </w:rPr>
              <w:t>17.1</w:t>
            </w:r>
          </w:p>
        </w:tc>
      </w:tr>
    </w:tbl>
    <w:p w14:paraId="594A0AB5" w14:textId="77777777" w:rsidR="00EB07AB" w:rsidRPr="004024BD" w:rsidRDefault="00EB07AB" w:rsidP="00EB07AB">
      <w:pPr>
        <w:pStyle w:val="NoSpacing"/>
        <w:spacing w:line="240" w:lineRule="auto"/>
        <w:rPr>
          <w:rFonts w:ascii="Arial" w:hAnsi="Arial" w:cs="Arial"/>
          <w:i/>
          <w:sz w:val="24"/>
          <w:szCs w:val="24"/>
        </w:rPr>
        <w:sectPr w:rsidR="00EB07AB" w:rsidRPr="004024BD" w:rsidSect="002A2F8C">
          <w:type w:val="continuous"/>
          <w:pgSz w:w="11906" w:h="16838" w:code="9"/>
          <w:pgMar w:top="1134" w:right="851" w:bottom="851" w:left="1247" w:header="720" w:footer="720" w:gutter="0"/>
          <w:cols w:space="720"/>
          <w:titlePg/>
          <w:docGrid w:linePitch="360"/>
        </w:sectPr>
      </w:pPr>
      <w:r w:rsidRPr="004024BD">
        <w:rPr>
          <w:rFonts w:ascii="Arial" w:hAnsi="Arial" w:cs="Arial"/>
          <w:noProof/>
        </w:rPr>
        <w:lastRenderedPageBreak/>
        <w:drawing>
          <wp:anchor distT="0" distB="0" distL="114300" distR="114300" simplePos="0" relativeHeight="251666432" behindDoc="0" locked="0" layoutInCell="1" allowOverlap="1" wp14:anchorId="1873FBE4" wp14:editId="34930D88">
            <wp:simplePos x="0" y="0"/>
            <wp:positionH relativeFrom="margin">
              <wp:posOffset>3346560</wp:posOffset>
            </wp:positionH>
            <wp:positionV relativeFrom="paragraph">
              <wp:posOffset>452479</wp:posOffset>
            </wp:positionV>
            <wp:extent cx="2827020" cy="2059305"/>
            <wp:effectExtent l="0" t="0" r="17780" b="10795"/>
            <wp:wrapThrough wrapText="bothSides">
              <wp:wrapPolygon edited="0">
                <wp:start x="0" y="0"/>
                <wp:lineTo x="0" y="21580"/>
                <wp:lineTo x="21639" y="21580"/>
                <wp:lineTo x="21639" y="0"/>
                <wp:lineTo x="0" y="0"/>
              </wp:wrapPolygon>
            </wp:wrapThrough>
            <wp:docPr id="21" name="Chart 21">
              <a:extLst xmlns:a="http://schemas.openxmlformats.org/drawingml/2006/main">
                <a:ext uri="{FF2B5EF4-FFF2-40B4-BE49-F238E27FC236}">
                  <a16:creationId xmlns:a16="http://schemas.microsoft.com/office/drawing/2014/main" id="{00000000-0008-0000-08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4024BD">
        <w:rPr>
          <w:rFonts w:ascii="Arial" w:hAnsi="Arial" w:cs="Arial"/>
          <w:noProof/>
        </w:rPr>
        <w:drawing>
          <wp:anchor distT="0" distB="0" distL="114300" distR="114300" simplePos="0" relativeHeight="251665408" behindDoc="1" locked="0" layoutInCell="1" allowOverlap="1" wp14:anchorId="087ADAA0" wp14:editId="6C21D2C9">
            <wp:simplePos x="0" y="0"/>
            <wp:positionH relativeFrom="margin">
              <wp:posOffset>162256</wp:posOffset>
            </wp:positionH>
            <wp:positionV relativeFrom="paragraph">
              <wp:posOffset>452617</wp:posOffset>
            </wp:positionV>
            <wp:extent cx="2983230" cy="2059305"/>
            <wp:effectExtent l="0" t="0" r="13970" b="10795"/>
            <wp:wrapThrough wrapText="bothSides">
              <wp:wrapPolygon edited="0">
                <wp:start x="0" y="0"/>
                <wp:lineTo x="0" y="21580"/>
                <wp:lineTo x="21609" y="21580"/>
                <wp:lineTo x="21609" y="0"/>
                <wp:lineTo x="0" y="0"/>
              </wp:wrapPolygon>
            </wp:wrapThrough>
            <wp:docPr id="22" name="Chart 22">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4024BD">
        <w:rPr>
          <w:rFonts w:ascii="Arial" w:hAnsi="Arial" w:cs="Arial"/>
          <w:i/>
          <w:sz w:val="24"/>
          <w:szCs w:val="24"/>
        </w:rPr>
        <w:tab/>
      </w:r>
    </w:p>
    <w:p w14:paraId="08899813" w14:textId="77777777" w:rsidR="00EB07AB" w:rsidRPr="004024BD" w:rsidRDefault="00EB07AB" w:rsidP="00EB07AB">
      <w:pPr>
        <w:pStyle w:val="NoSpacing"/>
        <w:spacing w:after="0" w:line="240" w:lineRule="auto"/>
        <w:ind w:firstLine="720"/>
        <w:rPr>
          <w:rFonts w:ascii="Arial" w:hAnsi="Arial" w:cs="Arial"/>
          <w:b/>
          <w:sz w:val="24"/>
          <w:szCs w:val="24"/>
        </w:rPr>
      </w:pPr>
      <w:r w:rsidRPr="004024BD">
        <w:rPr>
          <w:rFonts w:ascii="Arial" w:hAnsi="Arial" w:cs="Arial"/>
          <w:b/>
          <w:sz w:val="24"/>
          <w:szCs w:val="24"/>
        </w:rPr>
        <w:lastRenderedPageBreak/>
        <w:t>Дүгнэлт:</w:t>
      </w:r>
    </w:p>
    <w:p w14:paraId="219BCDF9" w14:textId="77777777" w:rsidR="00EB07AB" w:rsidRPr="004024BD" w:rsidRDefault="00EB07AB" w:rsidP="00EB07AB">
      <w:pPr>
        <w:pStyle w:val="NoSpacing"/>
        <w:spacing w:after="0" w:line="240" w:lineRule="auto"/>
        <w:ind w:firstLine="720"/>
        <w:rPr>
          <w:rFonts w:ascii="Arial" w:hAnsi="Arial" w:cs="Arial"/>
          <w:sz w:val="24"/>
          <w:szCs w:val="24"/>
        </w:rPr>
      </w:pPr>
      <w:r w:rsidRPr="004024BD">
        <w:rPr>
          <w:rFonts w:ascii="Arial" w:hAnsi="Arial" w:cs="Arial"/>
          <w:sz w:val="24"/>
          <w:szCs w:val="24"/>
        </w:rPr>
        <w:t xml:space="preserve"> </w:t>
      </w:r>
    </w:p>
    <w:p w14:paraId="71397E5B" w14:textId="77777777" w:rsidR="00EB07AB" w:rsidRPr="004024BD" w:rsidRDefault="00EB07AB" w:rsidP="00EB07AB">
      <w:pPr>
        <w:pStyle w:val="NoSpacing"/>
        <w:spacing w:after="0" w:line="240" w:lineRule="auto"/>
        <w:ind w:firstLine="709"/>
        <w:rPr>
          <w:rFonts w:ascii="Arial" w:hAnsi="Arial" w:cs="Arial"/>
          <w:sz w:val="24"/>
          <w:szCs w:val="24"/>
        </w:rPr>
      </w:pPr>
      <w:r w:rsidRPr="004024BD">
        <w:rPr>
          <w:rFonts w:ascii="Arial" w:hAnsi="Arial" w:cs="Arial"/>
          <w:sz w:val="24"/>
          <w:szCs w:val="24"/>
        </w:rPr>
        <w:t xml:space="preserve">Шинжилгээний үр дүнгээс үзэхэд дотоод бондоор санхүүжилтийн хэрэгцээг бүхэлд нь санхүүжүүлэх /S3, S4/ нь ханшийн эрсдэлийг багасгаж байгаа ч өрийн үйлчилгээний зардлыг ихэсгэснээр өрийн үйлчилгээний эрсдэл өндөр гарч байна. Цаашлаад арилжааны зээлийг ашигласнаар /S2/ гадаад валютаар илэрхийлэгдсэн өрийн хэмжээг ихэсгэж, ханшийн эрсдэлийг өсгөж байна. Харин төсвийн алдагдлыг санхүүжүүлэх гадаад эх үүсвэрийг хязгаарлаж, дотоод эх үүсвэр ашиглах нь гадаад валютын ханшийн эрсдэлийг бууруулж, гадаад өрийн дарамтыг бууруулах ач холбогдолтой болохыг шинжилгээний үр дүн харуулж байна. </w:t>
      </w:r>
    </w:p>
    <w:p w14:paraId="45B14C0A" w14:textId="77777777" w:rsidR="00EB07AB" w:rsidRPr="004024BD" w:rsidRDefault="00EB07AB" w:rsidP="00EB07AB">
      <w:pPr>
        <w:pStyle w:val="NoSpacing"/>
        <w:spacing w:after="0" w:line="240" w:lineRule="auto"/>
        <w:ind w:firstLine="720"/>
        <w:rPr>
          <w:rFonts w:ascii="Arial" w:hAnsi="Arial" w:cs="Arial"/>
          <w:sz w:val="24"/>
          <w:szCs w:val="24"/>
        </w:rPr>
      </w:pPr>
      <w:r w:rsidRPr="004024BD">
        <w:rPr>
          <w:rFonts w:ascii="Arial" w:hAnsi="Arial" w:cs="Arial"/>
          <w:b/>
          <w:sz w:val="24"/>
          <w:szCs w:val="24"/>
        </w:rPr>
        <w:tab/>
      </w:r>
    </w:p>
    <w:p w14:paraId="3DBEF386" w14:textId="77777777" w:rsidR="00EB07AB" w:rsidRPr="004024BD" w:rsidRDefault="00EB07AB" w:rsidP="00EB07AB">
      <w:pPr>
        <w:pStyle w:val="NormalWeb"/>
        <w:spacing w:before="0" w:beforeAutospacing="0" w:after="0" w:afterAutospacing="0"/>
        <w:jc w:val="center"/>
        <w:rPr>
          <w:rStyle w:val="Strong"/>
          <w:rFonts w:ascii="Arial" w:hAnsi="Arial" w:cs="Arial"/>
          <w:lang w:val="mn-MN"/>
        </w:rPr>
      </w:pPr>
      <w:r w:rsidRPr="004024BD">
        <w:rPr>
          <w:rStyle w:val="Strong"/>
          <w:rFonts w:ascii="Arial" w:hAnsi="Arial" w:cs="Arial"/>
          <w:lang w:val="mn-MN"/>
        </w:rPr>
        <w:t xml:space="preserve">6.ДУНД ХУГАЦААНД ДЭВШҮҮЛЖ БАЙГАА ЗОРИЛТ, </w:t>
      </w:r>
    </w:p>
    <w:p w14:paraId="619137FD" w14:textId="77777777" w:rsidR="00EB07AB" w:rsidRPr="004024BD" w:rsidRDefault="00EB07AB" w:rsidP="00EB07AB">
      <w:pPr>
        <w:pStyle w:val="NormalWeb"/>
        <w:spacing w:before="0" w:beforeAutospacing="0" w:after="0" w:afterAutospacing="0"/>
        <w:jc w:val="center"/>
        <w:rPr>
          <w:rStyle w:val="Strong"/>
          <w:rFonts w:ascii="Arial" w:hAnsi="Arial" w:cs="Arial"/>
          <w:lang w:val="mn-MN"/>
        </w:rPr>
      </w:pPr>
      <w:r w:rsidRPr="004024BD">
        <w:rPr>
          <w:rStyle w:val="Strong"/>
          <w:rFonts w:ascii="Arial" w:hAnsi="Arial" w:cs="Arial"/>
          <w:lang w:val="mn-MN"/>
        </w:rPr>
        <w:t>ХЭРЭГЖҮҮЛЭХ АРГА ЗАМ</w:t>
      </w:r>
    </w:p>
    <w:p w14:paraId="1B1DDCB9" w14:textId="77777777" w:rsidR="00EB07AB" w:rsidRPr="004024BD" w:rsidRDefault="00EB07AB" w:rsidP="00EB07AB">
      <w:pPr>
        <w:pStyle w:val="NormalWeb"/>
        <w:spacing w:before="0" w:beforeAutospacing="0" w:after="0" w:afterAutospacing="0"/>
        <w:jc w:val="center"/>
        <w:rPr>
          <w:rFonts w:ascii="Arial" w:hAnsi="Arial" w:cs="Arial"/>
          <w:b/>
          <w:lang w:val="mn-MN"/>
        </w:rPr>
      </w:pPr>
    </w:p>
    <w:p w14:paraId="63A969B1" w14:textId="77777777" w:rsidR="00EB07AB" w:rsidRPr="004024BD" w:rsidRDefault="00EB07AB" w:rsidP="00EB07AB">
      <w:pPr>
        <w:pStyle w:val="NoSpacing"/>
        <w:spacing w:after="0" w:line="240" w:lineRule="auto"/>
        <w:ind w:firstLine="720"/>
        <w:rPr>
          <w:rFonts w:ascii="Arial" w:hAnsi="Arial" w:cs="Arial"/>
          <w:b/>
          <w:sz w:val="24"/>
          <w:szCs w:val="24"/>
        </w:rPr>
      </w:pPr>
      <w:r w:rsidRPr="004024BD" w:rsidDel="00502FE2">
        <w:rPr>
          <w:rFonts w:ascii="Arial" w:hAnsi="Arial" w:cs="Arial"/>
          <w:b/>
          <w:sz w:val="24"/>
          <w:szCs w:val="24"/>
        </w:rPr>
        <w:t>Зорилт</w:t>
      </w:r>
      <w:r w:rsidRPr="004024BD" w:rsidDel="002D041F">
        <w:rPr>
          <w:rFonts w:ascii="Arial" w:hAnsi="Arial" w:cs="Arial"/>
          <w:b/>
          <w:sz w:val="24"/>
          <w:szCs w:val="24"/>
        </w:rPr>
        <w:t xml:space="preserve"> </w:t>
      </w:r>
      <w:r w:rsidRPr="004024BD">
        <w:rPr>
          <w:rFonts w:ascii="Arial" w:hAnsi="Arial" w:cs="Arial"/>
          <w:b/>
          <w:sz w:val="24"/>
          <w:szCs w:val="24"/>
        </w:rPr>
        <w:t>1</w:t>
      </w:r>
      <w:r w:rsidRPr="004024BD" w:rsidDel="00502FE2">
        <w:rPr>
          <w:rFonts w:ascii="Arial" w:hAnsi="Arial" w:cs="Arial"/>
          <w:b/>
          <w:sz w:val="24"/>
          <w:szCs w:val="24"/>
        </w:rPr>
        <w:t>:</w:t>
      </w:r>
      <w:r w:rsidRPr="004024BD">
        <w:rPr>
          <w:rFonts w:ascii="Arial" w:hAnsi="Arial" w:cs="Arial"/>
          <w:b/>
          <w:sz w:val="24"/>
          <w:szCs w:val="24"/>
        </w:rPr>
        <w:t>Засгийн газрын гадаад зээлийн хөрөнгөөр хэрэгжих төслүүдийн үр ашгийг нэмэгдүүлэх, гадаад зээлийн өрийн үйлчилгээний төсөвт үзүүлэх төлбөрийн дарамтыг бууруулна.</w:t>
      </w:r>
    </w:p>
    <w:p w14:paraId="754885E3" w14:textId="77777777" w:rsidR="00EB07AB" w:rsidRPr="004024BD" w:rsidRDefault="00EB07AB" w:rsidP="00EB07AB">
      <w:pPr>
        <w:pStyle w:val="NoSpacing"/>
        <w:spacing w:after="0" w:line="240" w:lineRule="auto"/>
        <w:ind w:firstLine="720"/>
        <w:rPr>
          <w:rFonts w:ascii="Arial" w:hAnsi="Arial" w:cs="Arial"/>
          <w:b/>
          <w:sz w:val="24"/>
          <w:szCs w:val="24"/>
        </w:rPr>
      </w:pPr>
    </w:p>
    <w:p w14:paraId="7A454674" w14:textId="77777777" w:rsidR="00EB07AB" w:rsidRPr="004024BD" w:rsidRDefault="00EB07AB" w:rsidP="00EB07AB">
      <w:pPr>
        <w:pStyle w:val="NoSpacing"/>
        <w:spacing w:after="0" w:line="240" w:lineRule="auto"/>
        <w:ind w:firstLine="720"/>
        <w:rPr>
          <w:rFonts w:ascii="Arial" w:hAnsi="Arial" w:cs="Arial"/>
          <w:sz w:val="24"/>
          <w:szCs w:val="24"/>
        </w:rPr>
      </w:pPr>
      <w:r w:rsidRPr="004024BD">
        <w:rPr>
          <w:rFonts w:ascii="Arial" w:hAnsi="Arial" w:cs="Arial"/>
          <w:b/>
          <w:sz w:val="24"/>
          <w:szCs w:val="24"/>
        </w:rPr>
        <w:t>Үндэслэл:</w:t>
      </w:r>
      <w:r w:rsidRPr="004024BD">
        <w:rPr>
          <w:rFonts w:ascii="Arial" w:hAnsi="Arial" w:cs="Arial"/>
          <w:sz w:val="24"/>
          <w:szCs w:val="24"/>
        </w:rPr>
        <w:t>Монгол Улсын Үндэсний аюулгүй байдлын үзэл баримтлалын 3.2.3.2-т “Засгийн газрын авах зээл нь бодит эдийн засгийн салбарт чиглэгдэх бөгөөд эдийн засгийн аюулгүй байдлыг хангасан, зохистой харьцаанд байна” гэж заасан. Түүнчлэн 2021 он хүртэл байгуулагдаад байгаа гадаад зээлийн гэрээ, хэлэлцээрийн хүрээнд авч ашиглаагүй зээлийн</w:t>
      </w:r>
      <w:r w:rsidRPr="004024BD" w:rsidDel="003122CE">
        <w:rPr>
          <w:rFonts w:ascii="Arial" w:hAnsi="Arial" w:cs="Arial"/>
          <w:sz w:val="24"/>
          <w:szCs w:val="24"/>
        </w:rPr>
        <w:t xml:space="preserve"> </w:t>
      </w:r>
      <w:r w:rsidRPr="004024BD">
        <w:rPr>
          <w:rFonts w:ascii="Arial" w:hAnsi="Arial" w:cs="Arial"/>
          <w:sz w:val="24"/>
          <w:szCs w:val="24"/>
        </w:rPr>
        <w:t xml:space="preserve">хэмжээ 13.5 их наяд төгрөгтэй тэнцэж байгаа ба зээлийн гэрээнд заасан хуваарийн дагуу энэхүү ашиглаагүй зээлийн хөрөнгийг 3-5 жилийн хугацаанд авч ашиглах үүрэг хүлээсэн. Энэ хэмжээгээр төсвийн хөрөнгийн зардал тэлэх, цаашлаад төсвийн алдагдлыг нэмэгдүүлэх суурь шалтгаан болох төлөвтэй байна. Монгол Улсын Засгийн газрын зүгээс энэхүү ашиглагдаагүй зээлийн үлдэгдэлд 2021 онд 16 орчим тэрбум төгрөгийн шимтгэл төлсөн байдаг. Цаашид Засгийн газрын гадаад зээлийн хөрөнгөөр хэрэгжиж байгаа төслүүдийн үр ашгийг нэмэгдүүлэх, ашиглагдаагүй зээлийн хэмжээг хязгаарлах, гадаад зээлийн гэрээ хэлэлцээр байгуулахаас өмнөх төслийн бэлтгэл ажлыг монголын талаас шуурхай хэрэгжүүлэх зайлшгүй шаардлагатай байна. </w:t>
      </w:r>
      <w:r w:rsidRPr="004024BD" w:rsidDel="005B5F04">
        <w:rPr>
          <w:rFonts w:ascii="Arial" w:hAnsi="Arial" w:cs="Arial"/>
          <w:sz w:val="24"/>
          <w:szCs w:val="24"/>
        </w:rPr>
        <w:t xml:space="preserve">Иймд гадаад зээлийн хөрөнгөөр санхүүжүүлэх төслийн бэлэн байдал хангагдсан, </w:t>
      </w:r>
      <w:r w:rsidRPr="004024BD">
        <w:rPr>
          <w:rFonts w:ascii="Arial" w:hAnsi="Arial" w:cs="Arial"/>
          <w:sz w:val="24"/>
          <w:szCs w:val="24"/>
        </w:rPr>
        <w:t>бодит секторт чиглэсэн төслүүдэд хөрөнгө оруулалт хийснээр</w:t>
      </w:r>
      <w:r w:rsidRPr="004024BD" w:rsidDel="005B5F04">
        <w:rPr>
          <w:rFonts w:ascii="Arial" w:hAnsi="Arial" w:cs="Arial"/>
          <w:sz w:val="24"/>
          <w:szCs w:val="24"/>
        </w:rPr>
        <w:t xml:space="preserve"> Засгийн газрын </w:t>
      </w:r>
      <w:r w:rsidRPr="004024BD">
        <w:rPr>
          <w:rFonts w:ascii="Arial" w:hAnsi="Arial" w:cs="Arial"/>
          <w:sz w:val="24"/>
          <w:szCs w:val="24"/>
        </w:rPr>
        <w:t>гадаад зээлийн бодлогын хэрэгжилт</w:t>
      </w:r>
      <w:r w:rsidRPr="004024BD" w:rsidDel="005B5F04">
        <w:rPr>
          <w:rFonts w:ascii="Arial" w:hAnsi="Arial" w:cs="Arial"/>
          <w:sz w:val="24"/>
          <w:szCs w:val="24"/>
        </w:rPr>
        <w:t xml:space="preserve"> сайж</w:t>
      </w:r>
      <w:r w:rsidRPr="004024BD">
        <w:rPr>
          <w:rFonts w:ascii="Arial" w:hAnsi="Arial" w:cs="Arial"/>
          <w:sz w:val="24"/>
          <w:szCs w:val="24"/>
        </w:rPr>
        <w:t>ирч, төсвийн зардал дахь ашиглагдаагүй зээлийн үлдэгдэлд төлж байгаа шимтгэлийн хэмжээ буурах нөхцөл бүрдэнэ</w:t>
      </w:r>
      <w:r w:rsidRPr="004024BD" w:rsidDel="005B5F04">
        <w:rPr>
          <w:rFonts w:ascii="Arial" w:hAnsi="Arial" w:cs="Arial"/>
          <w:sz w:val="24"/>
          <w:szCs w:val="24"/>
        </w:rPr>
        <w:t xml:space="preserve">. </w:t>
      </w:r>
    </w:p>
    <w:p w14:paraId="4EACCD0C" w14:textId="77777777" w:rsidR="00EB07AB" w:rsidRPr="004024BD" w:rsidRDefault="00EB07AB" w:rsidP="00EB07AB">
      <w:pPr>
        <w:pStyle w:val="NoSpacing"/>
        <w:spacing w:after="0" w:line="240" w:lineRule="auto"/>
        <w:ind w:firstLine="720"/>
        <w:rPr>
          <w:rFonts w:ascii="Arial" w:hAnsi="Arial" w:cs="Arial"/>
          <w:sz w:val="24"/>
          <w:szCs w:val="24"/>
        </w:rPr>
      </w:pPr>
    </w:p>
    <w:p w14:paraId="56431768" w14:textId="77777777" w:rsidR="00EB07AB" w:rsidRPr="004024BD" w:rsidRDefault="00EB07AB" w:rsidP="00EB07AB">
      <w:pPr>
        <w:pStyle w:val="NoSpacing"/>
        <w:spacing w:after="0" w:line="240" w:lineRule="auto"/>
        <w:rPr>
          <w:rFonts w:ascii="Arial" w:hAnsi="Arial" w:cs="Arial"/>
          <w:b/>
          <w:sz w:val="24"/>
          <w:szCs w:val="24"/>
        </w:rPr>
      </w:pPr>
      <w:r w:rsidRPr="004024BD">
        <w:rPr>
          <w:rFonts w:ascii="Arial" w:hAnsi="Arial" w:cs="Arial"/>
          <w:b/>
          <w:sz w:val="24"/>
          <w:szCs w:val="24"/>
        </w:rPr>
        <w:tab/>
        <w:t>Хэрэгжүүлэх арга зам:</w:t>
      </w:r>
    </w:p>
    <w:p w14:paraId="66E5C6A6" w14:textId="77777777" w:rsidR="00EB07AB" w:rsidRPr="004024BD" w:rsidRDefault="00EB07AB" w:rsidP="00EB07AB">
      <w:pPr>
        <w:pStyle w:val="NoSpacing"/>
        <w:spacing w:after="0" w:line="240" w:lineRule="auto"/>
        <w:rPr>
          <w:rFonts w:ascii="Arial" w:hAnsi="Arial" w:cs="Arial"/>
          <w:sz w:val="24"/>
          <w:szCs w:val="24"/>
        </w:rPr>
      </w:pPr>
    </w:p>
    <w:p w14:paraId="1802AE4A" w14:textId="77777777" w:rsidR="00EB07AB" w:rsidRPr="004024BD" w:rsidRDefault="00EB07AB" w:rsidP="00EB07AB">
      <w:pPr>
        <w:pStyle w:val="NoSpacing"/>
        <w:numPr>
          <w:ilvl w:val="0"/>
          <w:numId w:val="1"/>
        </w:numPr>
        <w:spacing w:after="0" w:line="240" w:lineRule="auto"/>
        <w:ind w:left="720"/>
        <w:rPr>
          <w:rFonts w:ascii="Arial" w:hAnsi="Arial" w:cs="Arial"/>
          <w:sz w:val="24"/>
          <w:szCs w:val="24"/>
        </w:rPr>
      </w:pPr>
      <w:r w:rsidRPr="004024BD">
        <w:rPr>
          <w:rFonts w:ascii="Arial" w:hAnsi="Arial" w:cs="Arial"/>
          <w:sz w:val="24"/>
          <w:szCs w:val="24"/>
        </w:rPr>
        <w:t>Эдийн засгийн бодит өсөлт болон экспортын орлогыг нэмэгдүүлэхгүй, гадаад улс орны худалдан авалтыг дэмжих замаар импортыг өсгөж, төлбөрийн тэнцэлд дарамт учруулах нөлөө бүхий Засгийн газрын гадаад зээлийн эх үүсвэрийг авч ашиглахаас татгалзах;</w:t>
      </w:r>
    </w:p>
    <w:p w14:paraId="39E51A82" w14:textId="77777777" w:rsidR="00EB07AB" w:rsidRPr="004024BD" w:rsidDel="005B5F04" w:rsidRDefault="00EB07AB" w:rsidP="00EB07AB">
      <w:pPr>
        <w:pStyle w:val="NoSpacing"/>
        <w:numPr>
          <w:ilvl w:val="0"/>
          <w:numId w:val="1"/>
        </w:numPr>
        <w:spacing w:after="0" w:line="240" w:lineRule="auto"/>
        <w:ind w:left="720"/>
        <w:rPr>
          <w:rFonts w:ascii="Arial" w:hAnsi="Arial" w:cs="Arial"/>
          <w:sz w:val="24"/>
          <w:szCs w:val="24"/>
        </w:rPr>
      </w:pPr>
      <w:r w:rsidRPr="004024BD">
        <w:rPr>
          <w:rFonts w:ascii="Arial" w:hAnsi="Arial" w:cs="Arial"/>
          <w:sz w:val="24"/>
          <w:szCs w:val="24"/>
        </w:rPr>
        <w:t>Өрийн удирдлагын тухай хуулийн 7.1.6-д</w:t>
      </w:r>
      <w:r w:rsidRPr="004024BD">
        <w:rPr>
          <w:rStyle w:val="FootnoteReference"/>
          <w:rFonts w:ascii="Arial" w:hAnsi="Arial" w:cs="Arial"/>
          <w:sz w:val="24"/>
          <w:szCs w:val="24"/>
        </w:rPr>
        <w:footnoteReference w:id="10"/>
      </w:r>
      <w:r w:rsidRPr="004024BD">
        <w:rPr>
          <w:rFonts w:ascii="Arial" w:hAnsi="Arial" w:cs="Arial"/>
          <w:sz w:val="24"/>
          <w:szCs w:val="24"/>
        </w:rPr>
        <w:t xml:space="preserve"> зааснаас бусад тохиолдолд зөвхөн бодит эдийн засгийн салбарт чиглэсэн төслийг санхүүжүүлэх зориулалтаар Засгийн газрын гадаад зээл авч ашиглах;</w:t>
      </w:r>
      <w:r w:rsidRPr="004024BD" w:rsidDel="003C404E">
        <w:rPr>
          <w:rFonts w:ascii="Arial" w:hAnsi="Arial" w:cs="Arial"/>
          <w:sz w:val="24"/>
          <w:szCs w:val="24"/>
        </w:rPr>
        <w:t xml:space="preserve"> </w:t>
      </w:r>
    </w:p>
    <w:p w14:paraId="2536CDF6" w14:textId="77777777" w:rsidR="00EB07AB" w:rsidRPr="004024BD" w:rsidRDefault="00EB07AB" w:rsidP="00EB07AB">
      <w:pPr>
        <w:pStyle w:val="NoSpacing"/>
        <w:numPr>
          <w:ilvl w:val="0"/>
          <w:numId w:val="1"/>
        </w:numPr>
        <w:spacing w:after="0" w:line="240" w:lineRule="auto"/>
        <w:ind w:left="720"/>
        <w:rPr>
          <w:rFonts w:ascii="Arial" w:hAnsi="Arial" w:cs="Arial"/>
          <w:sz w:val="24"/>
          <w:szCs w:val="24"/>
        </w:rPr>
      </w:pPr>
      <w:r w:rsidRPr="004024BD">
        <w:rPr>
          <w:rFonts w:ascii="Arial" w:hAnsi="Arial" w:cs="Arial"/>
          <w:sz w:val="24"/>
          <w:szCs w:val="24"/>
        </w:rPr>
        <w:t>Төсвийн алдагдлыг санхүүжүүлэх зорилгоор арилжааны нөхцөлтэй зээллэг хийхгүй байх.</w:t>
      </w:r>
    </w:p>
    <w:p w14:paraId="42881CF3" w14:textId="77777777" w:rsidR="00EB07AB" w:rsidRPr="004024BD" w:rsidRDefault="00EB07AB" w:rsidP="00EB07AB">
      <w:pPr>
        <w:pStyle w:val="NoSpacing"/>
        <w:spacing w:after="0" w:line="240" w:lineRule="auto"/>
        <w:ind w:firstLine="720"/>
        <w:rPr>
          <w:rFonts w:ascii="Arial" w:hAnsi="Arial" w:cs="Arial"/>
          <w:b/>
          <w:sz w:val="24"/>
          <w:szCs w:val="24"/>
        </w:rPr>
      </w:pPr>
      <w:r w:rsidRPr="004024BD">
        <w:rPr>
          <w:rFonts w:ascii="Arial" w:hAnsi="Arial" w:cs="Arial"/>
          <w:b/>
          <w:sz w:val="24"/>
          <w:szCs w:val="24"/>
        </w:rPr>
        <w:lastRenderedPageBreak/>
        <w:t>Зорилт 2:Засгийн газрын гадаад үнэт цаасны төлбөрүүдийг эдийн засаг, төсөвт дарамт учруулахгүйгээр төлж, дахин санхүүжилтийн эрсдэлийг бууруулна.</w:t>
      </w:r>
    </w:p>
    <w:p w14:paraId="7ACB7429" w14:textId="77777777" w:rsidR="00EB07AB" w:rsidRPr="004024BD" w:rsidRDefault="00EB07AB" w:rsidP="00EB07AB">
      <w:pPr>
        <w:pStyle w:val="NoSpacing"/>
        <w:spacing w:after="0" w:line="240" w:lineRule="auto"/>
        <w:rPr>
          <w:rFonts w:ascii="Arial" w:hAnsi="Arial" w:cs="Arial"/>
          <w:b/>
          <w:sz w:val="24"/>
          <w:szCs w:val="24"/>
        </w:rPr>
      </w:pPr>
    </w:p>
    <w:p w14:paraId="6A343996"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b/>
          <w:sz w:val="24"/>
          <w:szCs w:val="24"/>
        </w:rPr>
        <w:tab/>
        <w:t>Үндэслэл:</w:t>
      </w:r>
      <w:r w:rsidRPr="004024BD">
        <w:rPr>
          <w:rFonts w:ascii="Arial" w:hAnsi="Arial" w:cs="Arial"/>
          <w:sz w:val="24"/>
          <w:szCs w:val="24"/>
        </w:rPr>
        <w:t xml:space="preserve">Дэлхийн нийгэм, эдийн засгийн нөхцөл байдал, олон улсын хөрөнгийн зах зээлийн гэнэтийн өөрчлөлт, төлөв байдлаас хамааран Засгийн газрын гадаад өрийн зохицуулалтын арга хэмжээг авч хэрэгжүүлэх шаардлагууд энэхүү стратегийн баримт бичгийн хэрэгжилтийн хугацаанд үүснэ. Тухайлбал 2023, 2024 онд Засгийн газрын гадаад үнэт цаасны төлөлтийн хувьд өндөр ачаалалтай жилүүд болж байна. </w:t>
      </w:r>
    </w:p>
    <w:p w14:paraId="70921086" w14:textId="77777777" w:rsidR="00EB07AB" w:rsidRPr="004024BD" w:rsidRDefault="00EB07AB" w:rsidP="00EB07AB">
      <w:pPr>
        <w:pStyle w:val="NoSpacing"/>
        <w:spacing w:after="0" w:line="240" w:lineRule="auto"/>
        <w:rPr>
          <w:rFonts w:ascii="Arial" w:hAnsi="Arial" w:cs="Arial"/>
          <w:sz w:val="24"/>
          <w:szCs w:val="24"/>
        </w:rPr>
      </w:pPr>
    </w:p>
    <w:p w14:paraId="2E90C723" w14:textId="77777777" w:rsidR="00EB07AB" w:rsidRPr="004024BD" w:rsidRDefault="00EB07AB" w:rsidP="00EB07AB">
      <w:pPr>
        <w:pStyle w:val="NoSpacing"/>
        <w:spacing w:after="0" w:line="240" w:lineRule="auto"/>
        <w:rPr>
          <w:rFonts w:ascii="Arial" w:hAnsi="Arial" w:cs="Arial"/>
          <w:b/>
          <w:sz w:val="24"/>
          <w:szCs w:val="24"/>
        </w:rPr>
      </w:pPr>
      <w:r w:rsidRPr="004024BD">
        <w:rPr>
          <w:rFonts w:ascii="Arial" w:hAnsi="Arial" w:cs="Arial"/>
          <w:b/>
          <w:sz w:val="24"/>
          <w:szCs w:val="24"/>
        </w:rPr>
        <w:tab/>
        <w:t>Хэрэгжүүлэх арга зам:</w:t>
      </w:r>
      <w:r w:rsidRPr="004024BD">
        <w:rPr>
          <w:rFonts w:ascii="Arial" w:hAnsi="Arial" w:cs="Arial"/>
          <w:b/>
          <w:sz w:val="24"/>
          <w:szCs w:val="24"/>
        </w:rPr>
        <w:tab/>
      </w:r>
    </w:p>
    <w:p w14:paraId="03345745" w14:textId="77777777" w:rsidR="00EB07AB" w:rsidRPr="004024BD" w:rsidRDefault="00EB07AB" w:rsidP="00EB07AB">
      <w:pPr>
        <w:pStyle w:val="NoSpacing"/>
        <w:spacing w:after="0" w:line="240" w:lineRule="auto"/>
        <w:rPr>
          <w:rFonts w:ascii="Arial" w:hAnsi="Arial" w:cs="Arial"/>
          <w:b/>
          <w:sz w:val="24"/>
          <w:szCs w:val="24"/>
        </w:rPr>
      </w:pPr>
    </w:p>
    <w:p w14:paraId="0A04A579" w14:textId="77777777" w:rsidR="00EB07AB" w:rsidRPr="004024BD" w:rsidRDefault="00EB07AB" w:rsidP="00EB07AB">
      <w:pPr>
        <w:pStyle w:val="NoSpacing"/>
        <w:numPr>
          <w:ilvl w:val="0"/>
          <w:numId w:val="9"/>
        </w:numPr>
        <w:spacing w:after="0" w:line="240" w:lineRule="auto"/>
        <w:rPr>
          <w:rFonts w:ascii="Arial" w:hAnsi="Arial" w:cs="Arial"/>
          <w:sz w:val="24"/>
          <w:szCs w:val="24"/>
        </w:rPr>
      </w:pPr>
      <w:r w:rsidRPr="004024BD">
        <w:rPr>
          <w:rFonts w:ascii="Arial" w:hAnsi="Arial" w:cs="Arial"/>
          <w:sz w:val="24"/>
          <w:szCs w:val="24"/>
        </w:rPr>
        <w:t>Гадаад зах зээлийн нөхцөл байдал, зардал, эрсдэлийн судалгааг тогтмол хийж, Засгийн газрын гадаад үнэт цаасыг хугацаанаас нь өмнө худалдан авах арга хэмжээг хэрэгжүүлэх;</w:t>
      </w:r>
    </w:p>
    <w:p w14:paraId="6F4CB74C" w14:textId="77777777" w:rsidR="00EB07AB" w:rsidRPr="004024BD" w:rsidRDefault="00EB07AB" w:rsidP="00EB07AB">
      <w:pPr>
        <w:pStyle w:val="NoSpacing"/>
        <w:numPr>
          <w:ilvl w:val="0"/>
          <w:numId w:val="9"/>
        </w:numPr>
        <w:spacing w:after="0" w:line="240" w:lineRule="auto"/>
        <w:rPr>
          <w:rFonts w:ascii="Arial" w:eastAsia="Times New Roman" w:hAnsi="Arial" w:cs="Arial"/>
          <w:sz w:val="24"/>
          <w:szCs w:val="24"/>
        </w:rPr>
      </w:pPr>
      <w:r w:rsidRPr="004024BD">
        <w:rPr>
          <w:rFonts w:ascii="Arial" w:hAnsi="Arial" w:cs="Arial"/>
          <w:sz w:val="24"/>
          <w:szCs w:val="24"/>
        </w:rPr>
        <w:t>Засгийн газрын гадаад үнэт цаас</w:t>
      </w:r>
      <w:r w:rsidRPr="004024BD">
        <w:rPr>
          <w:rFonts w:ascii="Arial" w:eastAsia="Times New Roman" w:hAnsi="Arial" w:cs="Arial"/>
          <w:sz w:val="24"/>
          <w:szCs w:val="24"/>
        </w:rPr>
        <w:t xml:space="preserve">ны төлбөрийг мөнгөн хөрөнгийн хуримтлалаас боломжит хэмжээгээр төлөх, өрийн зохицуулалтын арга хэмжээ, хугацаанаас нь өмнө худалдан авах, дахин санхүүжүүлэх зэрэг арга хэмжээг </w:t>
      </w:r>
      <w:r w:rsidRPr="004024BD">
        <w:rPr>
          <w:rFonts w:ascii="Arial" w:hAnsi="Arial" w:cs="Arial"/>
          <w:sz w:val="24"/>
          <w:szCs w:val="24"/>
        </w:rPr>
        <w:t>авч хэрэгжүүлэх</w:t>
      </w:r>
      <w:r w:rsidRPr="004024BD">
        <w:rPr>
          <w:rFonts w:ascii="Arial" w:eastAsia="Times New Roman" w:hAnsi="Arial" w:cs="Arial"/>
          <w:sz w:val="24"/>
          <w:szCs w:val="24"/>
        </w:rPr>
        <w:t>;</w:t>
      </w:r>
    </w:p>
    <w:p w14:paraId="6D20D31C" w14:textId="77777777" w:rsidR="00EB07AB" w:rsidRPr="004024BD" w:rsidRDefault="00EB07AB" w:rsidP="00EB07AB">
      <w:pPr>
        <w:pStyle w:val="NoSpacing"/>
        <w:numPr>
          <w:ilvl w:val="0"/>
          <w:numId w:val="9"/>
        </w:numPr>
        <w:spacing w:after="0" w:line="240" w:lineRule="auto"/>
        <w:rPr>
          <w:rFonts w:ascii="Arial" w:eastAsia="Times New Roman" w:hAnsi="Arial" w:cs="Arial"/>
          <w:sz w:val="24"/>
          <w:szCs w:val="24"/>
        </w:rPr>
      </w:pPr>
      <w:r w:rsidRPr="004024BD">
        <w:rPr>
          <w:rFonts w:ascii="Arial" w:eastAsia="Times New Roman" w:hAnsi="Arial" w:cs="Arial"/>
          <w:sz w:val="24"/>
          <w:szCs w:val="24"/>
        </w:rPr>
        <w:t xml:space="preserve">Дахин санхүүжилтээс бусад зориулалтаар </w:t>
      </w:r>
      <w:r w:rsidRPr="004024BD">
        <w:rPr>
          <w:rFonts w:ascii="Arial" w:hAnsi="Arial" w:cs="Arial"/>
          <w:sz w:val="24"/>
          <w:szCs w:val="24"/>
        </w:rPr>
        <w:t>Засгийн газрын гадаад үнэт цаас</w:t>
      </w:r>
      <w:r w:rsidRPr="004024BD">
        <w:rPr>
          <w:rFonts w:ascii="Arial" w:eastAsia="Times New Roman" w:hAnsi="Arial" w:cs="Arial"/>
          <w:sz w:val="24"/>
          <w:szCs w:val="24"/>
        </w:rPr>
        <w:t>ыг арилжаалахгүй байх;</w:t>
      </w:r>
    </w:p>
    <w:p w14:paraId="1F4FDB79" w14:textId="77777777" w:rsidR="00EB07AB" w:rsidRPr="004024BD" w:rsidRDefault="00EB07AB" w:rsidP="00EB07AB">
      <w:pPr>
        <w:pStyle w:val="NoSpacing"/>
        <w:numPr>
          <w:ilvl w:val="0"/>
          <w:numId w:val="9"/>
        </w:numPr>
        <w:spacing w:after="0" w:line="240" w:lineRule="auto"/>
        <w:rPr>
          <w:rFonts w:ascii="Arial" w:eastAsia="Times New Roman" w:hAnsi="Arial" w:cs="Arial"/>
          <w:sz w:val="24"/>
          <w:szCs w:val="24"/>
        </w:rPr>
      </w:pPr>
      <w:r w:rsidRPr="004024BD">
        <w:rPr>
          <w:rFonts w:ascii="Arial" w:hAnsi="Arial" w:cs="Arial"/>
          <w:sz w:val="24"/>
          <w:szCs w:val="24"/>
        </w:rPr>
        <w:t>Улсын зээлжих зэрэглэлийг сайжруулах үүднээс зэрэглэл тогтоогч байгууллага, хөрөнгө оруулагчдыг мэдээллээр тогтмол ханган хамтарч ажиллах.</w:t>
      </w:r>
    </w:p>
    <w:p w14:paraId="55A38600" w14:textId="77777777" w:rsidR="00EB07AB" w:rsidRPr="004024BD" w:rsidRDefault="00EB07AB" w:rsidP="00EB07AB">
      <w:pPr>
        <w:pStyle w:val="NoSpacing"/>
        <w:spacing w:after="0" w:line="240" w:lineRule="auto"/>
        <w:ind w:left="720"/>
        <w:rPr>
          <w:rFonts w:ascii="Arial" w:eastAsia="Times New Roman" w:hAnsi="Arial" w:cs="Arial"/>
          <w:sz w:val="24"/>
          <w:szCs w:val="24"/>
        </w:rPr>
      </w:pPr>
    </w:p>
    <w:p w14:paraId="7D588E0E" w14:textId="77777777" w:rsidR="00EB07AB" w:rsidRPr="004024BD" w:rsidRDefault="00EB07AB" w:rsidP="00EB07AB">
      <w:pPr>
        <w:pStyle w:val="NoSpacing"/>
        <w:spacing w:after="0" w:line="240" w:lineRule="auto"/>
        <w:ind w:firstLine="720"/>
        <w:rPr>
          <w:rFonts w:ascii="Arial" w:eastAsia="Times New Roman" w:hAnsi="Arial" w:cs="Arial"/>
          <w:b/>
          <w:sz w:val="24"/>
          <w:szCs w:val="24"/>
        </w:rPr>
      </w:pPr>
      <w:r w:rsidRPr="004024BD">
        <w:rPr>
          <w:rFonts w:ascii="Arial" w:eastAsia="Times New Roman" w:hAnsi="Arial" w:cs="Arial"/>
          <w:b/>
          <w:sz w:val="24"/>
          <w:szCs w:val="24"/>
        </w:rPr>
        <w:t>Зорилт 3:</w:t>
      </w:r>
      <w:r w:rsidRPr="004024BD">
        <w:rPr>
          <w:rFonts w:ascii="Arial" w:hAnsi="Arial" w:cs="Arial"/>
          <w:b/>
          <w:sz w:val="24"/>
          <w:szCs w:val="24"/>
        </w:rPr>
        <w:t>Засгийн газрын өрийн удирдлагын тогтолцоог сайжруулж</w:t>
      </w:r>
      <w:r w:rsidRPr="004024BD">
        <w:rPr>
          <w:rFonts w:ascii="Arial" w:hAnsi="Arial" w:cs="Arial"/>
          <w:b/>
          <w:i/>
          <w:sz w:val="24"/>
          <w:szCs w:val="24"/>
        </w:rPr>
        <w:t>,</w:t>
      </w:r>
      <w:r w:rsidRPr="004024BD">
        <w:rPr>
          <w:rFonts w:ascii="Arial" w:hAnsi="Arial" w:cs="Arial"/>
          <w:b/>
          <w:sz w:val="24"/>
          <w:szCs w:val="24"/>
        </w:rPr>
        <w:t xml:space="preserve"> орчин үеийн чиг хандлагад нийцүүлэх, </w:t>
      </w:r>
      <w:r w:rsidRPr="004024BD">
        <w:rPr>
          <w:rFonts w:ascii="Arial" w:eastAsia="Times New Roman" w:hAnsi="Arial" w:cs="Arial"/>
          <w:b/>
          <w:sz w:val="24"/>
          <w:szCs w:val="24"/>
        </w:rPr>
        <w:t>Засгийн газрын өрийн багц дахь зах зээлийн эрсдэлээс сэргийлэх зорилгоор үүсмэл арга хэрэгслийг өрийн зохицуулалтын үйл ажиллагаанд нэвтрүүлнэ.</w:t>
      </w:r>
    </w:p>
    <w:p w14:paraId="494EAA0B" w14:textId="77777777" w:rsidR="00EB07AB" w:rsidRPr="004024BD" w:rsidRDefault="00EB07AB" w:rsidP="00EB07AB">
      <w:pPr>
        <w:pStyle w:val="NoSpacing"/>
        <w:spacing w:after="0" w:line="240" w:lineRule="auto"/>
        <w:rPr>
          <w:rFonts w:ascii="Arial" w:eastAsia="Times New Roman" w:hAnsi="Arial" w:cs="Arial"/>
          <w:sz w:val="24"/>
          <w:szCs w:val="24"/>
        </w:rPr>
      </w:pPr>
    </w:p>
    <w:p w14:paraId="69DE44AE" w14:textId="77777777" w:rsidR="00EB07AB" w:rsidRPr="004024BD" w:rsidRDefault="00EB07AB" w:rsidP="00EB07AB">
      <w:pPr>
        <w:pStyle w:val="NoSpacing"/>
        <w:spacing w:after="0" w:line="240" w:lineRule="auto"/>
        <w:ind w:firstLine="720"/>
        <w:rPr>
          <w:rFonts w:ascii="Arial" w:hAnsi="Arial" w:cs="Arial"/>
          <w:sz w:val="24"/>
          <w:szCs w:val="24"/>
        </w:rPr>
      </w:pPr>
      <w:r w:rsidRPr="004024BD">
        <w:rPr>
          <w:rFonts w:ascii="Arial" w:hAnsi="Arial" w:cs="Arial"/>
          <w:b/>
          <w:sz w:val="24"/>
          <w:szCs w:val="24"/>
        </w:rPr>
        <w:t>Үндэслэл:</w:t>
      </w:r>
      <w:r w:rsidRPr="004024BD">
        <w:rPr>
          <w:rFonts w:ascii="Arial" w:hAnsi="Arial" w:cs="Arial"/>
          <w:sz w:val="24"/>
          <w:szCs w:val="24"/>
        </w:rPr>
        <w:t>Дэлхийн хамгийн том эдийн засаг болох АНУ-д инфляц 2022 оны 03 дугаар сарын байдлаар сүүлийн 40 жилийн хугацаанд хамгийн дээд түвшиндээ хүрсний улмаас тус улсын Төв банкнаас бодлогын хүүгийн түвшнийг 2 хувьд хүргэх тухай урт хугацааны зорилтоо олон нийтэд мэдэгдсэн. Улмаар АНУ-ын бодлогын хүү өсөх нь ам.долларын ханш бусад улсын валютын эсрэг чангарах, дэлхийн санхүүгийн зах зээл дэх суурь хүүг нэмэгдүүлэх зэрэг нөлөө үзүүлснээр Засгийн газрын өрийн багц дахь валютын болон хүүгийн түвшний эрсдэлийг нэмэгдүүлэх, гадаад өрийн дахин санхүүжилтийн зардлыг өсгөх зэрэг сөрөг үр дагавар бий болохоор байгаа тул Засгийн газраас цаашид дээрх эрсдэлээс сэргийлэх арга хэмжээг авч хэрэгжүүлэх шаардлагатай байна.</w:t>
      </w:r>
    </w:p>
    <w:p w14:paraId="0EFDBB81" w14:textId="77777777" w:rsidR="00EB07AB" w:rsidRPr="004024BD" w:rsidRDefault="00EB07AB" w:rsidP="00EB07AB">
      <w:pPr>
        <w:pStyle w:val="NoSpacing"/>
        <w:spacing w:after="0" w:line="240" w:lineRule="auto"/>
        <w:ind w:firstLine="720"/>
        <w:rPr>
          <w:rFonts w:ascii="Arial" w:hAnsi="Arial" w:cs="Arial"/>
          <w:sz w:val="24"/>
          <w:szCs w:val="24"/>
        </w:rPr>
      </w:pPr>
    </w:p>
    <w:p w14:paraId="370EF3BE" w14:textId="77777777" w:rsidR="00EB07AB" w:rsidRPr="004024BD" w:rsidRDefault="00EB07AB" w:rsidP="00EB07AB">
      <w:pPr>
        <w:pStyle w:val="NoSpacing"/>
        <w:spacing w:after="0" w:line="240" w:lineRule="auto"/>
        <w:ind w:firstLine="720"/>
        <w:rPr>
          <w:rFonts w:ascii="Arial" w:hAnsi="Arial" w:cs="Arial"/>
          <w:b/>
          <w:sz w:val="24"/>
          <w:szCs w:val="24"/>
        </w:rPr>
      </w:pPr>
      <w:r w:rsidRPr="004024BD">
        <w:rPr>
          <w:rFonts w:ascii="Arial" w:hAnsi="Arial" w:cs="Arial"/>
          <w:b/>
          <w:sz w:val="24"/>
          <w:szCs w:val="24"/>
        </w:rPr>
        <w:t>Хэрэгжүүлэх арга зам:</w:t>
      </w:r>
    </w:p>
    <w:p w14:paraId="53A99C7C" w14:textId="77777777" w:rsidR="00EB07AB" w:rsidRPr="004024BD" w:rsidRDefault="00EB07AB" w:rsidP="00EB07AB">
      <w:pPr>
        <w:pStyle w:val="NoSpacing"/>
        <w:spacing w:after="0" w:line="240" w:lineRule="auto"/>
        <w:ind w:firstLine="720"/>
        <w:rPr>
          <w:rFonts w:ascii="Arial" w:eastAsia="Times New Roman" w:hAnsi="Arial" w:cs="Arial"/>
          <w:sz w:val="24"/>
          <w:szCs w:val="24"/>
        </w:rPr>
      </w:pPr>
    </w:p>
    <w:p w14:paraId="2CE5206F" w14:textId="77777777" w:rsidR="00EB07AB" w:rsidRPr="004024BD" w:rsidRDefault="00EB07AB" w:rsidP="00EB07AB">
      <w:pPr>
        <w:pStyle w:val="NoSpacing"/>
        <w:numPr>
          <w:ilvl w:val="0"/>
          <w:numId w:val="9"/>
        </w:numPr>
        <w:spacing w:after="0" w:line="240" w:lineRule="auto"/>
        <w:rPr>
          <w:rFonts w:ascii="Arial" w:hAnsi="Arial" w:cs="Arial"/>
          <w:sz w:val="24"/>
          <w:szCs w:val="24"/>
        </w:rPr>
      </w:pPr>
      <w:r w:rsidRPr="004024BD">
        <w:rPr>
          <w:rFonts w:ascii="Arial" w:hAnsi="Arial" w:cs="Arial"/>
          <w:sz w:val="24"/>
          <w:szCs w:val="24"/>
        </w:rPr>
        <w:t>Засгийн газрын хөрөнгө, өр төлбөрийн удирдлагыг хэрэгжүүлэх чиглэлээр Монголбанктай хамтран ажиллаж, гадаад өрийн үйлчилгээний хуваарийг валютын нөөцтэй уялдуулах, шаардлагатай тохиолдолд валют болон хүүгийн своп хэлэлцээрийг зээлдүүлэгч талтай хийх;</w:t>
      </w:r>
    </w:p>
    <w:p w14:paraId="6D19FE90" w14:textId="77777777" w:rsidR="00EB07AB" w:rsidRPr="004024BD" w:rsidRDefault="00EB07AB" w:rsidP="00EB07AB">
      <w:pPr>
        <w:pStyle w:val="NoSpacing"/>
        <w:numPr>
          <w:ilvl w:val="0"/>
          <w:numId w:val="9"/>
        </w:numPr>
        <w:spacing w:after="0" w:line="240" w:lineRule="auto"/>
        <w:rPr>
          <w:rFonts w:ascii="Arial" w:hAnsi="Arial" w:cs="Arial"/>
          <w:sz w:val="24"/>
          <w:szCs w:val="24"/>
        </w:rPr>
      </w:pPr>
      <w:r w:rsidRPr="004024BD">
        <w:rPr>
          <w:rFonts w:ascii="Arial" w:hAnsi="Arial" w:cs="Arial"/>
          <w:sz w:val="24"/>
          <w:szCs w:val="24"/>
        </w:rPr>
        <w:t>Дэлхий нийтэд тулгараад байгаа нь инфляцын өсөлтөөс шалтгаалан гадаад зах зээлд бий болоод байгаа хүүгийн өсөлтөөс хамааран урт, дунд хугацаанд Засгийн газрын гадаад зээлийн хөвөгч хүү өсөх тохиолдолд тогтмол хүүтэй зээл авах нөхцөлийг зээлдүүлэгч талд тавьж ажиллах;</w:t>
      </w:r>
    </w:p>
    <w:p w14:paraId="1947DC04" w14:textId="77777777" w:rsidR="00EB07AB" w:rsidRPr="004024BD" w:rsidRDefault="00EB07AB" w:rsidP="00EB07AB">
      <w:pPr>
        <w:pStyle w:val="NoSpacing"/>
        <w:numPr>
          <w:ilvl w:val="0"/>
          <w:numId w:val="9"/>
        </w:numPr>
        <w:spacing w:after="0" w:line="240" w:lineRule="auto"/>
        <w:rPr>
          <w:rFonts w:ascii="Arial" w:hAnsi="Arial" w:cs="Arial"/>
          <w:sz w:val="24"/>
          <w:szCs w:val="24"/>
        </w:rPr>
      </w:pPr>
      <w:r w:rsidRPr="004024BD">
        <w:rPr>
          <w:rFonts w:ascii="Arial" w:hAnsi="Arial" w:cs="Arial"/>
          <w:sz w:val="24"/>
          <w:szCs w:val="24"/>
        </w:rPr>
        <w:t>Тогтвортой хөгжлийн зорилтод нийцсэн төсөл, арга хэмжээг дэмжиж, тэдгээрийн санхүүжилтийг Тогтвортой хөгжлийн зорилтод нийцсэн</w:t>
      </w:r>
      <w:r w:rsidRPr="004024BD" w:rsidDel="008D77AE">
        <w:rPr>
          <w:rFonts w:ascii="Arial" w:hAnsi="Arial" w:cs="Arial"/>
          <w:sz w:val="24"/>
          <w:szCs w:val="24"/>
        </w:rPr>
        <w:t xml:space="preserve"> </w:t>
      </w:r>
      <w:r w:rsidRPr="004024BD">
        <w:rPr>
          <w:rFonts w:ascii="Arial" w:hAnsi="Arial" w:cs="Arial"/>
          <w:sz w:val="24"/>
          <w:szCs w:val="24"/>
        </w:rPr>
        <w:t xml:space="preserve">өрийн хэрэгсэлтэй уялдуулж, Засгийн газрын өрийн зохицуулалтын арга хэмжээнд нэвтрүүлэх </w:t>
      </w:r>
      <w:r w:rsidRPr="004024BD">
        <w:rPr>
          <w:rFonts w:ascii="Arial" w:hAnsi="Arial" w:cs="Arial"/>
          <w:sz w:val="24"/>
          <w:szCs w:val="24"/>
        </w:rPr>
        <w:lastRenderedPageBreak/>
        <w:t>боломжийг судалж, бэлтгэл ажлыг хангуулахад холбогдох яамтай хамтран ажиллах, түүнчлэн эдгээр арга хэмжээний ач холбогдлыг олон нийтэд таниулах;</w:t>
      </w:r>
    </w:p>
    <w:p w14:paraId="74D0491C" w14:textId="77777777" w:rsidR="00EB07AB" w:rsidRPr="004024BD" w:rsidRDefault="00EB07AB" w:rsidP="00EB07AB">
      <w:pPr>
        <w:pStyle w:val="NoSpacing"/>
        <w:numPr>
          <w:ilvl w:val="0"/>
          <w:numId w:val="9"/>
        </w:numPr>
        <w:spacing w:after="0" w:line="240" w:lineRule="auto"/>
        <w:rPr>
          <w:rFonts w:ascii="Arial" w:hAnsi="Arial" w:cs="Arial"/>
          <w:sz w:val="24"/>
          <w:szCs w:val="24"/>
        </w:rPr>
      </w:pPr>
      <w:r w:rsidRPr="004024BD">
        <w:rPr>
          <w:rFonts w:ascii="Arial" w:hAnsi="Arial" w:cs="Arial"/>
          <w:sz w:val="24"/>
          <w:szCs w:val="24"/>
        </w:rPr>
        <w:t>Өрийн удирдлагын санхүүгийн шинжилгээний нэгдсэн системийг сайжруулж, мэдээллийн нэгдсэн санг шинэчлэх нөхцөлийг бүрдүүлэх;</w:t>
      </w:r>
    </w:p>
    <w:p w14:paraId="7591B832" w14:textId="77777777" w:rsidR="00EB07AB" w:rsidRPr="004024BD" w:rsidRDefault="00EB07AB" w:rsidP="00EB07AB">
      <w:pPr>
        <w:pStyle w:val="NoSpacing"/>
        <w:numPr>
          <w:ilvl w:val="0"/>
          <w:numId w:val="9"/>
        </w:numPr>
        <w:spacing w:after="0" w:line="240" w:lineRule="auto"/>
        <w:rPr>
          <w:rFonts w:ascii="Arial" w:hAnsi="Arial" w:cs="Arial"/>
          <w:sz w:val="24"/>
          <w:szCs w:val="24"/>
        </w:rPr>
      </w:pPr>
      <w:r w:rsidRPr="004024BD">
        <w:rPr>
          <w:rFonts w:ascii="Arial" w:hAnsi="Arial" w:cs="Arial"/>
          <w:sz w:val="24"/>
          <w:szCs w:val="24"/>
        </w:rPr>
        <w:t>Орон нутгийн засаг захиргааны өрийн удирдлагын чадавхыг бэхжүүлж, болзошгүй өр төлбөрийн эрсдэлээс сэргийлэх, Засгийн газрын өрийн мэдээллийн нэгдсэн санг хөтлөх талаар хамтран ажиллах.</w:t>
      </w:r>
    </w:p>
    <w:p w14:paraId="72544E45" w14:textId="77777777" w:rsidR="00EB07AB" w:rsidRPr="004024BD" w:rsidRDefault="00EB07AB" w:rsidP="00EB07AB">
      <w:pPr>
        <w:pStyle w:val="NoSpacing"/>
        <w:spacing w:after="0" w:line="240" w:lineRule="auto"/>
        <w:rPr>
          <w:rFonts w:ascii="Arial" w:hAnsi="Arial" w:cs="Arial"/>
          <w:b/>
          <w:sz w:val="24"/>
          <w:szCs w:val="24"/>
          <w:highlight w:val="yellow"/>
        </w:rPr>
      </w:pPr>
    </w:p>
    <w:p w14:paraId="274BB3DD" w14:textId="77777777" w:rsidR="00EB07AB" w:rsidRPr="004024BD" w:rsidRDefault="00EB07AB" w:rsidP="00EB07AB">
      <w:pPr>
        <w:pStyle w:val="NoSpacing"/>
        <w:spacing w:after="0" w:line="240" w:lineRule="auto"/>
        <w:ind w:firstLine="720"/>
        <w:rPr>
          <w:rFonts w:ascii="Arial" w:hAnsi="Arial" w:cs="Arial"/>
          <w:b/>
          <w:sz w:val="24"/>
          <w:szCs w:val="24"/>
        </w:rPr>
      </w:pPr>
      <w:r w:rsidRPr="004024BD">
        <w:rPr>
          <w:rFonts w:ascii="Arial" w:hAnsi="Arial" w:cs="Arial"/>
          <w:b/>
          <w:sz w:val="24"/>
          <w:szCs w:val="24"/>
        </w:rPr>
        <w:t>Зорилт 4:Засгийн газрын дотоод үнэт цаасны зах зээлийн хөгжлийг дэмжих, үнэт цаасны арилжааг тогтмолжуулна.</w:t>
      </w:r>
    </w:p>
    <w:p w14:paraId="1E3FF66F" w14:textId="77777777" w:rsidR="00EB07AB" w:rsidRPr="004024BD" w:rsidRDefault="00EB07AB" w:rsidP="00EB07AB">
      <w:pPr>
        <w:pStyle w:val="NoSpacing"/>
        <w:spacing w:after="0" w:line="240" w:lineRule="auto"/>
        <w:rPr>
          <w:rFonts w:ascii="Arial" w:hAnsi="Arial" w:cs="Arial"/>
          <w:b/>
          <w:sz w:val="24"/>
          <w:szCs w:val="24"/>
        </w:rPr>
      </w:pPr>
    </w:p>
    <w:p w14:paraId="16DDCF4D"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b/>
          <w:sz w:val="24"/>
          <w:szCs w:val="24"/>
        </w:rPr>
        <w:tab/>
        <w:t>Үндэслэл:</w:t>
      </w:r>
      <w:r w:rsidRPr="004024BD">
        <w:rPr>
          <w:rFonts w:ascii="Arial" w:hAnsi="Arial" w:cs="Arial"/>
          <w:sz w:val="24"/>
          <w:szCs w:val="24"/>
        </w:rPr>
        <w:t>Засгийн газрын дотоод үнэт цаасны арилжаа нь хөрөнгийн зах зээл, үнэт цаасны зах зээлийн хөгжилд чухал нөлөөтэйн зэрэгцээ төсвийн алдагдлыг санхүүжүүлэх найдвартай эх үүсвэр болдог тул дотоод өрийн зах зээлийг хөгжүүлэх зорилт нь Өрийн удирдлагын тухай хуулийн дагуу стратегийн баримт бичгийн зорилго, хамрах хүрээний салшгүй хэсэг болж хуульчлагдсан. Иймд 2017 оны 10 дугаар сараас эхлэн зогссон Засгийн газрын дотоод үнэт цаасны зах зээлийн арилжааг дахин нээж, тогтмолжуулах шаардлагатай байна. Засгийн газрын дотоод үнэт цаасны өгөөжийн муруйг бий болгосноор хөрөнгийн зах зээлд эрсдэлгүй үнэт цаасны жишиг хүү тогтох ач холбогдолтой бөгөөд Засгийн газрын үнэт цаасны арилжааг урьдчилан зарласан хэмжээ, нөхцөл бүхий хуваарийн дагуу тогтсон хугацаанд зохион байгуулж хэвшсэнээр үнэт цаасны эрэлтийг дэмжиж, өгөөжийн муруйг бий болгох нөхцөлийг бүрдүүлж өгдөг. Иймээс зарим тохиолдолд Төрийн сан дахь мөнгөн хөрөнгийн дутагдал үүсээгүй байхад Өрийн удирдлагын тухай хуулийн 12.1.3-т заасан зориулалтаар буюу дотоод өрийн зах зээлийг хөгжүүлэх зориулалт бүхий үнэт цаасны арилжааг хэвийн явуулах шаардлагатай болно.</w:t>
      </w:r>
    </w:p>
    <w:p w14:paraId="566681AE" w14:textId="77777777" w:rsidR="00EB07AB" w:rsidRPr="004024BD" w:rsidRDefault="00EB07AB" w:rsidP="00EB07AB">
      <w:pPr>
        <w:pStyle w:val="NoSpacing"/>
        <w:spacing w:after="0" w:line="240" w:lineRule="auto"/>
        <w:rPr>
          <w:rFonts w:ascii="Arial" w:hAnsi="Arial" w:cs="Arial"/>
          <w:sz w:val="24"/>
          <w:szCs w:val="24"/>
        </w:rPr>
      </w:pPr>
      <w:r w:rsidRPr="004024BD">
        <w:rPr>
          <w:rFonts w:ascii="Arial" w:hAnsi="Arial" w:cs="Arial"/>
          <w:sz w:val="24"/>
          <w:szCs w:val="24"/>
        </w:rPr>
        <w:t xml:space="preserve"> </w:t>
      </w:r>
    </w:p>
    <w:p w14:paraId="3589DFB5" w14:textId="77777777" w:rsidR="00EB07AB" w:rsidRPr="004024BD" w:rsidRDefault="00EB07AB" w:rsidP="00EB07AB">
      <w:pPr>
        <w:pStyle w:val="NoSpacing"/>
        <w:spacing w:after="0" w:line="240" w:lineRule="auto"/>
        <w:rPr>
          <w:rFonts w:ascii="Arial" w:hAnsi="Arial" w:cs="Arial"/>
          <w:b/>
          <w:sz w:val="24"/>
          <w:szCs w:val="24"/>
        </w:rPr>
      </w:pPr>
      <w:r w:rsidRPr="004024BD">
        <w:rPr>
          <w:rFonts w:ascii="Arial" w:hAnsi="Arial" w:cs="Arial"/>
          <w:b/>
          <w:sz w:val="24"/>
          <w:szCs w:val="24"/>
        </w:rPr>
        <w:tab/>
        <w:t>Хэрэгжүүлэх арга зам:</w:t>
      </w:r>
    </w:p>
    <w:p w14:paraId="0557E106" w14:textId="77777777" w:rsidR="00EB07AB" w:rsidRPr="004024BD" w:rsidRDefault="00EB07AB" w:rsidP="00EB07AB">
      <w:pPr>
        <w:pStyle w:val="NoSpacing"/>
        <w:spacing w:after="0" w:line="240" w:lineRule="auto"/>
        <w:rPr>
          <w:rFonts w:ascii="Arial" w:hAnsi="Arial" w:cs="Arial"/>
          <w:sz w:val="24"/>
          <w:szCs w:val="24"/>
        </w:rPr>
      </w:pPr>
    </w:p>
    <w:p w14:paraId="1760547C" w14:textId="77777777" w:rsidR="00EB07AB" w:rsidRPr="004024BD" w:rsidRDefault="00EB07AB" w:rsidP="00EB07AB">
      <w:pPr>
        <w:pStyle w:val="NoSpacing"/>
        <w:numPr>
          <w:ilvl w:val="0"/>
          <w:numId w:val="11"/>
        </w:numPr>
        <w:spacing w:after="0" w:line="240" w:lineRule="auto"/>
        <w:rPr>
          <w:rFonts w:ascii="Arial" w:hAnsi="Arial" w:cs="Arial"/>
          <w:sz w:val="24"/>
          <w:szCs w:val="24"/>
        </w:rPr>
      </w:pPr>
      <w:r w:rsidRPr="004024BD">
        <w:rPr>
          <w:rFonts w:ascii="Arial" w:hAnsi="Arial" w:cs="Arial"/>
          <w:sz w:val="24"/>
          <w:szCs w:val="24"/>
        </w:rPr>
        <w:t>Засгийн газрын дотоод үнэт цаасны арилжаанд орчин үеийн дэвшилтэт технологийг ашигласан систем нэвтрүүлэх;</w:t>
      </w:r>
    </w:p>
    <w:p w14:paraId="6595E074" w14:textId="77777777" w:rsidR="00EB07AB" w:rsidRPr="004024BD" w:rsidRDefault="00EB07AB" w:rsidP="00EB07AB">
      <w:pPr>
        <w:pStyle w:val="NoSpacing"/>
        <w:numPr>
          <w:ilvl w:val="0"/>
          <w:numId w:val="11"/>
        </w:numPr>
        <w:spacing w:after="0" w:line="240" w:lineRule="auto"/>
        <w:rPr>
          <w:rFonts w:ascii="Arial" w:hAnsi="Arial" w:cs="Arial"/>
          <w:sz w:val="24"/>
          <w:szCs w:val="24"/>
        </w:rPr>
      </w:pPr>
      <w:r w:rsidRPr="004024BD">
        <w:rPr>
          <w:rFonts w:ascii="Arial" w:hAnsi="Arial" w:cs="Arial"/>
          <w:sz w:val="24"/>
          <w:szCs w:val="24"/>
        </w:rPr>
        <w:t>Засгийн газрын дотоод үнэт цаасны анхдагч болон хоёрдогч арилжаанд оролцсоноор бий болох үр ашиг, эрсдэлийн талаар иргэн, аж ахуйн нэгжийн мэдлэг, мэдээллийг дээшлүүлэх зэрэг арга хэмжээг авч хэрэгжүүлэн хөрөнгө оруулагчдын бааз суурийг нэмэгдүүлэх;</w:t>
      </w:r>
    </w:p>
    <w:p w14:paraId="41D09FF3" w14:textId="77777777" w:rsidR="00EB07AB" w:rsidRPr="004024BD" w:rsidRDefault="00EB07AB" w:rsidP="00EB07AB">
      <w:pPr>
        <w:pStyle w:val="NoSpacing"/>
        <w:numPr>
          <w:ilvl w:val="0"/>
          <w:numId w:val="11"/>
        </w:numPr>
        <w:spacing w:after="0" w:line="240" w:lineRule="auto"/>
        <w:rPr>
          <w:rFonts w:ascii="Arial" w:hAnsi="Arial" w:cs="Arial"/>
          <w:sz w:val="24"/>
          <w:szCs w:val="24"/>
        </w:rPr>
      </w:pPr>
      <w:r w:rsidRPr="004024BD">
        <w:rPr>
          <w:rFonts w:ascii="Arial" w:hAnsi="Arial" w:cs="Arial"/>
          <w:sz w:val="24"/>
          <w:szCs w:val="24"/>
        </w:rPr>
        <w:t>Засгийн газрын дотоод үнэт цаасны анхдагч зах зээл дэх арилжаанд оролцогчдын эрэлтийг нэмэгдүүлэх, хоёрдогч зах зээл дэх үнэт цаасны хөрвөх чадварыг сайжруулах зорилгоор Засгийн газрын дотоод үнэт цаасыг хугацаанаас нь өмнө буцаан худалдан авах, зорилтот зах зээлд чиглэсэн Засгийн газрын дотоод үнэт цаасны арилжааг зохион байгуулах дэд бүтэц болон хууль, эрх зүйн орчныг бүрдүүлэх;</w:t>
      </w:r>
    </w:p>
    <w:p w14:paraId="7B9516FF" w14:textId="77777777" w:rsidR="00EB07AB" w:rsidRPr="004024BD" w:rsidRDefault="00EB07AB" w:rsidP="00EB07AB">
      <w:pPr>
        <w:pStyle w:val="NoSpacing"/>
        <w:numPr>
          <w:ilvl w:val="0"/>
          <w:numId w:val="11"/>
        </w:numPr>
        <w:spacing w:after="0" w:line="240" w:lineRule="auto"/>
        <w:rPr>
          <w:rFonts w:ascii="Arial" w:hAnsi="Arial" w:cs="Arial"/>
          <w:sz w:val="24"/>
          <w:szCs w:val="24"/>
        </w:rPr>
      </w:pPr>
      <w:r w:rsidRPr="004024BD">
        <w:rPr>
          <w:rFonts w:ascii="Arial" w:hAnsi="Arial" w:cs="Arial"/>
          <w:sz w:val="24"/>
          <w:szCs w:val="24"/>
        </w:rPr>
        <w:t>Засгийн газрын дотоод үнэт цаасны зах зээлийг хөгжүүлэх, хөрөнгийн зах зээл дэх жишиг хүүгийн түвшнийг тогтоох зорилгоор жил бүр шинээр гаргах Засгийн газрын дотоод үнэт цаасны 10-20 хүртэлх хувийг урьдчилан зарласан хугацаа, нөхцөл бүхий хуваарийн дагуу арилжаа зохион байгуулагдахаас 3 сарын өмнө олон нийтэд нээлттэй зарлаж, хуваарийн дагуу үнэт цаасны арилжааг зохион байгуулах замаар арилжааг тогтмолжуулах.</w:t>
      </w:r>
    </w:p>
    <w:p w14:paraId="21A04028" w14:textId="77777777" w:rsidR="00EB07AB" w:rsidRPr="004024BD" w:rsidRDefault="00EB07AB" w:rsidP="00EB07AB">
      <w:pPr>
        <w:pStyle w:val="NoSpacing"/>
        <w:spacing w:after="0" w:line="240" w:lineRule="auto"/>
        <w:ind w:left="720"/>
        <w:rPr>
          <w:rFonts w:ascii="Arial" w:hAnsi="Arial" w:cs="Arial"/>
          <w:sz w:val="24"/>
          <w:szCs w:val="24"/>
        </w:rPr>
      </w:pPr>
    </w:p>
    <w:p w14:paraId="1BC9FA67" w14:textId="77777777" w:rsidR="00EB07AB" w:rsidRPr="004024BD" w:rsidRDefault="00EB07AB" w:rsidP="00EB07AB">
      <w:pPr>
        <w:pStyle w:val="NoSpacing"/>
        <w:spacing w:after="0" w:line="240" w:lineRule="auto"/>
        <w:ind w:firstLine="720"/>
        <w:rPr>
          <w:rFonts w:ascii="Arial" w:hAnsi="Arial" w:cs="Arial"/>
          <w:b/>
          <w:sz w:val="24"/>
          <w:szCs w:val="24"/>
        </w:rPr>
      </w:pPr>
      <w:r w:rsidRPr="004024BD">
        <w:rPr>
          <w:rFonts w:ascii="Arial" w:hAnsi="Arial" w:cs="Arial"/>
          <w:b/>
          <w:sz w:val="24"/>
          <w:szCs w:val="24"/>
        </w:rPr>
        <w:t xml:space="preserve">Зорилт 5:Улсын стратегийн томоохон төслүүдэд Засгийн газрын өрийн баталгаа гаргах, хувийн хэвшлийн компаниудад дэмжлэг үзүүлэх байдлаар Монгол </w:t>
      </w:r>
      <w:r w:rsidRPr="004024BD">
        <w:rPr>
          <w:rFonts w:ascii="Arial" w:hAnsi="Arial" w:cs="Arial"/>
          <w:b/>
          <w:sz w:val="24"/>
          <w:szCs w:val="24"/>
        </w:rPr>
        <w:lastRenderedPageBreak/>
        <w:t>Улсын эдийн засгийн урт хугацааны зорилтыг хангаж, болзошгүй өр төлбөрийн эрсдэлийг хязгаарлана.</w:t>
      </w:r>
    </w:p>
    <w:p w14:paraId="2E97F9EA" w14:textId="77777777" w:rsidR="00EB07AB" w:rsidRPr="004024BD" w:rsidRDefault="00EB07AB" w:rsidP="00EB07AB">
      <w:pPr>
        <w:pStyle w:val="NoSpacing"/>
        <w:spacing w:after="0" w:line="240" w:lineRule="auto"/>
        <w:ind w:firstLine="720"/>
        <w:rPr>
          <w:rFonts w:ascii="Arial" w:hAnsi="Arial" w:cs="Arial"/>
          <w:b/>
          <w:sz w:val="24"/>
          <w:szCs w:val="24"/>
        </w:rPr>
      </w:pPr>
    </w:p>
    <w:p w14:paraId="175B5E34" w14:textId="77777777" w:rsidR="00EB07AB" w:rsidRPr="004024BD" w:rsidRDefault="00EB07AB" w:rsidP="00EB07AB">
      <w:pPr>
        <w:pStyle w:val="NoSpacing"/>
        <w:spacing w:after="0" w:line="240" w:lineRule="auto"/>
        <w:rPr>
          <w:rStyle w:val="normaltextrun"/>
          <w:rFonts w:ascii="Arial" w:hAnsi="Arial" w:cs="Arial"/>
          <w:sz w:val="24"/>
          <w:szCs w:val="24"/>
        </w:rPr>
      </w:pPr>
      <w:r w:rsidRPr="004024BD">
        <w:rPr>
          <w:rFonts w:ascii="Arial" w:hAnsi="Arial" w:cs="Arial"/>
          <w:b/>
          <w:sz w:val="24"/>
          <w:szCs w:val="24"/>
        </w:rPr>
        <w:tab/>
        <w:t>Үндэслэл:</w:t>
      </w:r>
      <w:r w:rsidRPr="004024BD">
        <w:rPr>
          <w:rFonts w:ascii="Arial" w:hAnsi="Arial" w:cs="Arial"/>
          <w:sz w:val="24"/>
          <w:szCs w:val="24"/>
        </w:rPr>
        <w:t>Монгол Улсын Их Хурлаас</w:t>
      </w:r>
      <w:r w:rsidRPr="004024BD">
        <w:rPr>
          <w:rFonts w:ascii="Arial" w:hAnsi="Arial" w:cs="Arial"/>
          <w:b/>
          <w:sz w:val="24"/>
          <w:szCs w:val="24"/>
        </w:rPr>
        <w:t xml:space="preserve"> </w:t>
      </w:r>
      <w:r w:rsidRPr="004024BD">
        <w:rPr>
          <w:rStyle w:val="normaltextrun"/>
          <w:rFonts w:ascii="Arial" w:hAnsi="Arial" w:cs="Arial"/>
          <w:sz w:val="24"/>
          <w:szCs w:val="24"/>
        </w:rPr>
        <w:t xml:space="preserve">“Шинэ сэргэлтийн бодлого батлах тухай” Монгол Улсын Их Хурлын 2021 оны 106 дугаар тогтоолыг баталсан. Энэ бодлогын баримт бичиг нь Монгол Улсын эдийн засгийн өсөлтийг хязгаарлаж байгаа хүчин зүйлсийг арилгаж, урт хугацааны эдийн засгийн өсөлтийг хангах зорилтот төсөл, хөтөлбөрүүд, хуулийн төслүүд, үйл ажиллагааны хөтөлбөрүүдээс бүрдсэн. Эдгээр төслүүдийг хэрэгжүүлэхэд тулгарч байгаа нийтлэг асуудлууд нь төслийг хэрэгжүүлэх бэлтгэл ажил хангалтгүй /техник, эдийн засгийн үндэслэл, байгаль орчны нөлөөллийн үнэлгээ, зураг, төсөл боловсруулагдаагүй, шинэчлэх шаардлагатай гэх мэт/ байхын зэрэгцээ, төслийг санхүүжүүлэх улсын төсвийн боломж, бололцоо хомс байдаг. Иймд төслийн бэлтгэл ажил хангагдсан төсөл, хөтөлбөрийн хувьд улсын төсөвт дарамт учруулахгүйгээр санхүүжилтийн эх үүсвэрийг бүрдүүлэхэд дэмжлэг үзүүлэх боломжит хувилбар бол хөрөнгө оруулалтын эх үүсвэрт Засгийн газрын өрийн баталгаа гаргах явдал юм. </w:t>
      </w:r>
    </w:p>
    <w:p w14:paraId="27399C5A" w14:textId="77777777" w:rsidR="00EB07AB" w:rsidRPr="004024BD" w:rsidRDefault="00EB07AB" w:rsidP="00EB07AB">
      <w:pPr>
        <w:pStyle w:val="NoSpacing"/>
        <w:spacing w:after="0" w:line="240" w:lineRule="auto"/>
        <w:rPr>
          <w:rFonts w:ascii="Arial" w:hAnsi="Arial" w:cs="Arial"/>
          <w:b/>
          <w:sz w:val="24"/>
          <w:szCs w:val="24"/>
        </w:rPr>
      </w:pPr>
    </w:p>
    <w:p w14:paraId="682FE9A8" w14:textId="77777777" w:rsidR="00EB07AB" w:rsidRPr="004024BD" w:rsidRDefault="00EB07AB" w:rsidP="00EB07AB">
      <w:pPr>
        <w:pStyle w:val="NoSpacing"/>
        <w:spacing w:after="0" w:line="240" w:lineRule="auto"/>
        <w:rPr>
          <w:rFonts w:ascii="Arial" w:hAnsi="Arial" w:cs="Arial"/>
          <w:b/>
          <w:sz w:val="24"/>
          <w:szCs w:val="24"/>
        </w:rPr>
      </w:pPr>
      <w:r w:rsidRPr="004024BD">
        <w:rPr>
          <w:rFonts w:ascii="Arial" w:hAnsi="Arial" w:cs="Arial"/>
          <w:b/>
          <w:sz w:val="24"/>
          <w:szCs w:val="24"/>
        </w:rPr>
        <w:tab/>
        <w:t>Хэрэгжүүлэх арга зам:</w:t>
      </w:r>
    </w:p>
    <w:p w14:paraId="1123BE61" w14:textId="77777777" w:rsidR="00EB07AB" w:rsidRPr="004024BD" w:rsidRDefault="00EB07AB" w:rsidP="00EB07AB">
      <w:pPr>
        <w:pStyle w:val="NoSpacing"/>
        <w:spacing w:after="0" w:line="240" w:lineRule="auto"/>
        <w:rPr>
          <w:rFonts w:ascii="Arial" w:hAnsi="Arial" w:cs="Arial"/>
          <w:sz w:val="24"/>
          <w:szCs w:val="24"/>
        </w:rPr>
      </w:pPr>
    </w:p>
    <w:p w14:paraId="234B5BBE" w14:textId="77777777" w:rsidR="00EB07AB" w:rsidRPr="004024BD" w:rsidRDefault="00EB07AB" w:rsidP="00EB07AB">
      <w:pPr>
        <w:pStyle w:val="NoSpacing"/>
        <w:numPr>
          <w:ilvl w:val="0"/>
          <w:numId w:val="10"/>
        </w:numPr>
        <w:spacing w:after="0" w:line="240" w:lineRule="auto"/>
        <w:rPr>
          <w:rFonts w:ascii="Arial" w:hAnsi="Arial" w:cs="Arial"/>
          <w:sz w:val="24"/>
          <w:szCs w:val="24"/>
        </w:rPr>
      </w:pPr>
      <w:r w:rsidRPr="004024BD">
        <w:rPr>
          <w:rFonts w:ascii="Arial" w:hAnsi="Arial" w:cs="Arial"/>
          <w:sz w:val="24"/>
          <w:szCs w:val="24"/>
        </w:rPr>
        <w:t>Эдийн засаг болон нийгмийн үр өгөөж өндөртэй төслийг хэрэгжүүлэх бэлтгэл ажил хангагдсан, “Шинэ сэргэлтийн бодлого”-д нийцсэн төслүүдийн санхүүжилтийн эх үүсвэрт Засгийн газрын өрийн баталгаа гаргах замаар дэмжлэг үзүүлэх;</w:t>
      </w:r>
    </w:p>
    <w:p w14:paraId="1D0B4CF6" w14:textId="77777777" w:rsidR="00EB07AB" w:rsidRPr="004024BD" w:rsidRDefault="00EB07AB" w:rsidP="00EB07AB">
      <w:pPr>
        <w:pStyle w:val="NoSpacing"/>
        <w:numPr>
          <w:ilvl w:val="0"/>
          <w:numId w:val="10"/>
        </w:numPr>
        <w:spacing w:after="0" w:line="240" w:lineRule="auto"/>
        <w:rPr>
          <w:rFonts w:ascii="Arial" w:hAnsi="Arial" w:cs="Arial"/>
          <w:sz w:val="24"/>
          <w:szCs w:val="24"/>
        </w:rPr>
      </w:pPr>
      <w:r w:rsidRPr="004024BD">
        <w:rPr>
          <w:rFonts w:ascii="Arial" w:hAnsi="Arial" w:cs="Arial"/>
          <w:sz w:val="24"/>
          <w:szCs w:val="24"/>
        </w:rPr>
        <w:t>Төр, хувийн хэвшлийн түншлэлийн хүрээнд гаргах Засгийн газрын өрийн баталгаанаас төсөвт үүсэж болзошгүй эрсдэлийг үнэлэх, эрсдэлээс сэргийлэх чиглэлээр өрийн удирдлагын чадавхыг бэхжүүлж, бүртгэл хөтлөх, тайлагнах механизмыг бүрдүүлэх;</w:t>
      </w:r>
    </w:p>
    <w:p w14:paraId="5594310A" w14:textId="77777777" w:rsidR="00EB07AB" w:rsidRPr="004024BD" w:rsidRDefault="00EB07AB" w:rsidP="00EB07AB">
      <w:pPr>
        <w:pStyle w:val="NoSpacing"/>
        <w:numPr>
          <w:ilvl w:val="0"/>
          <w:numId w:val="10"/>
        </w:numPr>
        <w:spacing w:after="0" w:line="240" w:lineRule="auto"/>
        <w:rPr>
          <w:rFonts w:ascii="Arial" w:hAnsi="Arial" w:cs="Arial"/>
          <w:sz w:val="24"/>
          <w:szCs w:val="24"/>
        </w:rPr>
      </w:pPr>
      <w:r w:rsidRPr="004024BD">
        <w:rPr>
          <w:rFonts w:ascii="Arial" w:hAnsi="Arial" w:cs="Arial"/>
          <w:sz w:val="24"/>
          <w:szCs w:val="24"/>
        </w:rPr>
        <w:t>Засгийн газрын өрийн баталгаа гаргасан төслүүдийн эргэн төлөлт, байгууллагын санхүүгийн үйл ажиллагааны хяналтыг сайжруулж, болзошгүй өр төлбөрийн эрсдэлийг бууруулах;</w:t>
      </w:r>
    </w:p>
    <w:p w14:paraId="312A24E6" w14:textId="77777777" w:rsidR="00EB07AB" w:rsidRPr="004024BD" w:rsidRDefault="00EB07AB" w:rsidP="00EB07AB">
      <w:pPr>
        <w:pStyle w:val="NoSpacing"/>
        <w:numPr>
          <w:ilvl w:val="0"/>
          <w:numId w:val="10"/>
        </w:numPr>
        <w:spacing w:after="0" w:line="240" w:lineRule="auto"/>
        <w:rPr>
          <w:rFonts w:ascii="Arial" w:hAnsi="Arial" w:cs="Arial"/>
          <w:sz w:val="24"/>
          <w:szCs w:val="24"/>
        </w:rPr>
      </w:pPr>
      <w:r w:rsidRPr="004024BD">
        <w:rPr>
          <w:rFonts w:ascii="Arial" w:hAnsi="Arial" w:cs="Arial"/>
          <w:sz w:val="24"/>
          <w:szCs w:val="24"/>
        </w:rPr>
        <w:t>Төсвөөс шууд төлөгдөх нөхцөлтэй Барих-Шилжүүлэх төрлийн концессын гэрээ байгуулахгүй, өрийн бичиг /вексель/ шинээр гаргахгүй байх;</w:t>
      </w:r>
    </w:p>
    <w:p w14:paraId="38D66458" w14:textId="77777777" w:rsidR="00EB07AB" w:rsidRPr="004024BD" w:rsidRDefault="00EB07AB" w:rsidP="00EB07AB">
      <w:pPr>
        <w:pStyle w:val="NoSpacing"/>
        <w:numPr>
          <w:ilvl w:val="0"/>
          <w:numId w:val="10"/>
        </w:numPr>
        <w:spacing w:after="0" w:line="240" w:lineRule="auto"/>
        <w:rPr>
          <w:rFonts w:ascii="Arial" w:hAnsi="Arial" w:cs="Arial"/>
          <w:sz w:val="24"/>
          <w:szCs w:val="24"/>
        </w:rPr>
      </w:pPr>
      <w:r w:rsidRPr="004024BD">
        <w:rPr>
          <w:rFonts w:ascii="Arial" w:hAnsi="Arial" w:cs="Arial"/>
          <w:sz w:val="24"/>
          <w:szCs w:val="24"/>
        </w:rPr>
        <w:t>Олон улсын санхүүгийн байгууллагуудаас санал болгож байгаа болзошгүй эрсдэлээс сэргийлэх зээлийн шугамыг ашиглах механизмыг нэвтрүүлэх.</w:t>
      </w:r>
    </w:p>
    <w:p w14:paraId="13D4672D" w14:textId="77777777" w:rsidR="00EB07AB" w:rsidRPr="004024BD" w:rsidRDefault="00EB07AB" w:rsidP="00EB07AB">
      <w:pPr>
        <w:pStyle w:val="NoSpacing"/>
        <w:spacing w:after="0" w:line="240" w:lineRule="auto"/>
        <w:ind w:left="630"/>
        <w:rPr>
          <w:rFonts w:ascii="Arial" w:hAnsi="Arial" w:cs="Arial"/>
          <w:sz w:val="24"/>
          <w:szCs w:val="24"/>
        </w:rPr>
      </w:pPr>
    </w:p>
    <w:p w14:paraId="5686EFB4" w14:textId="77777777" w:rsidR="00EB07AB" w:rsidRPr="004024BD" w:rsidRDefault="00EB07AB" w:rsidP="00EB07AB">
      <w:pPr>
        <w:pStyle w:val="NoSpacing"/>
        <w:spacing w:after="0" w:line="240" w:lineRule="auto"/>
        <w:ind w:firstLine="720"/>
        <w:rPr>
          <w:rFonts w:ascii="Arial" w:hAnsi="Arial" w:cs="Arial"/>
          <w:b/>
          <w:sz w:val="24"/>
          <w:szCs w:val="24"/>
        </w:rPr>
      </w:pPr>
      <w:r w:rsidRPr="004024BD">
        <w:rPr>
          <w:rFonts w:ascii="Arial" w:hAnsi="Arial" w:cs="Arial"/>
          <w:b/>
          <w:sz w:val="24"/>
          <w:szCs w:val="24"/>
        </w:rPr>
        <w:t>Зорилт 6:Засгийн газрын өрийн удирдлагын ил тод байдлыг сайжруулна.</w:t>
      </w:r>
    </w:p>
    <w:p w14:paraId="11A6BBBD" w14:textId="77777777" w:rsidR="00EB07AB" w:rsidRPr="004024BD" w:rsidRDefault="00EB07AB" w:rsidP="00EB07AB">
      <w:pPr>
        <w:pStyle w:val="NoSpacing"/>
        <w:spacing w:after="0" w:line="240" w:lineRule="auto"/>
        <w:ind w:firstLine="720"/>
        <w:rPr>
          <w:rFonts w:ascii="Arial" w:hAnsi="Arial" w:cs="Arial"/>
          <w:b/>
          <w:sz w:val="24"/>
          <w:szCs w:val="24"/>
        </w:rPr>
      </w:pPr>
    </w:p>
    <w:p w14:paraId="447CF1FD" w14:textId="77777777" w:rsidR="00EB07AB" w:rsidRPr="004024BD" w:rsidRDefault="00EB07AB" w:rsidP="00EB07AB">
      <w:pPr>
        <w:pStyle w:val="NoSpacing"/>
        <w:tabs>
          <w:tab w:val="left" w:pos="270"/>
        </w:tabs>
        <w:spacing w:after="0" w:line="240" w:lineRule="auto"/>
        <w:rPr>
          <w:rFonts w:ascii="Arial" w:hAnsi="Arial" w:cs="Arial"/>
          <w:sz w:val="24"/>
          <w:szCs w:val="24"/>
        </w:rPr>
      </w:pPr>
      <w:r w:rsidRPr="004024BD">
        <w:rPr>
          <w:rFonts w:ascii="Arial" w:hAnsi="Arial" w:cs="Arial"/>
          <w:sz w:val="24"/>
          <w:szCs w:val="24"/>
        </w:rPr>
        <w:tab/>
      </w:r>
      <w:r w:rsidRPr="004024BD">
        <w:rPr>
          <w:rFonts w:ascii="Arial" w:hAnsi="Arial" w:cs="Arial"/>
          <w:sz w:val="24"/>
          <w:szCs w:val="24"/>
        </w:rPr>
        <w:tab/>
      </w:r>
      <w:r w:rsidRPr="004024BD">
        <w:rPr>
          <w:rFonts w:ascii="Arial" w:hAnsi="Arial" w:cs="Arial"/>
          <w:b/>
          <w:sz w:val="24"/>
          <w:szCs w:val="24"/>
        </w:rPr>
        <w:t>Үндэслэл:</w:t>
      </w:r>
      <w:r w:rsidRPr="004024BD">
        <w:rPr>
          <w:rFonts w:ascii="Arial" w:hAnsi="Arial" w:cs="Arial"/>
          <w:sz w:val="24"/>
          <w:szCs w:val="24"/>
        </w:rPr>
        <w:t xml:space="preserve">Өрийн ил тод байдлыг хангуулах, олон нийтэд үнэн, бодитой мэдээлэл хүргэх нь иргэн, аж ахуйн нэгжид Засгийн газрын үйл ажиллагааг таниулах, төсөвт үүсэж болзошгүй өр төлбөрийн талаар зөв ойлголтыг өгөх, түүнчлэн хөрөнгө оруулагчдын итгэлийг сэргээж, олон улсын санаачилгын хүрээнд дэлхийн нийтэд хүлээн зөвшөөрөгдсөн стандартын дагуу өрийн статистик мэдээлэлд Монгол Улсын Засгийн газрын өрийн бүртгэлийг нэгтгүүлэх зэрэг ач холбогдолтой байдаг. Энэ талаар олон улсын байгууллагууд, тэр дундаа Азийн хөгжлийн банк, Дэлхийн банкнаас Монгол Улсад хуваарилах дунд хугацааны зээлийн хэмжээ, нөхцөлийг тогтооход тавигдсан өрийн ил тод байдлыг хангуулах бодлогын нөхцөлүүдтэй энэхүү зорилт нийцэж байна. </w:t>
      </w:r>
    </w:p>
    <w:p w14:paraId="085C56D2" w14:textId="77777777" w:rsidR="00EB07AB" w:rsidRPr="004024BD" w:rsidRDefault="00EB07AB" w:rsidP="00EB07AB">
      <w:pPr>
        <w:pStyle w:val="NoSpacing"/>
        <w:tabs>
          <w:tab w:val="left" w:pos="270"/>
        </w:tabs>
        <w:spacing w:after="0" w:line="240" w:lineRule="auto"/>
        <w:rPr>
          <w:rFonts w:ascii="Arial" w:hAnsi="Arial" w:cs="Arial"/>
          <w:b/>
          <w:sz w:val="24"/>
          <w:szCs w:val="24"/>
        </w:rPr>
      </w:pPr>
    </w:p>
    <w:p w14:paraId="597B7CF2" w14:textId="77777777" w:rsidR="00EB07AB" w:rsidRPr="004024BD" w:rsidRDefault="00EB07AB" w:rsidP="00EB07AB">
      <w:pPr>
        <w:pStyle w:val="NoSpacing"/>
        <w:tabs>
          <w:tab w:val="left" w:pos="270"/>
        </w:tabs>
        <w:spacing w:after="0" w:line="240" w:lineRule="auto"/>
        <w:outlineLvl w:val="0"/>
        <w:rPr>
          <w:rFonts w:ascii="Arial" w:hAnsi="Arial" w:cs="Arial"/>
          <w:b/>
          <w:sz w:val="24"/>
          <w:szCs w:val="24"/>
        </w:rPr>
      </w:pPr>
      <w:r w:rsidRPr="004024BD">
        <w:rPr>
          <w:rFonts w:ascii="Arial" w:hAnsi="Arial" w:cs="Arial"/>
          <w:sz w:val="24"/>
          <w:szCs w:val="24"/>
        </w:rPr>
        <w:tab/>
      </w:r>
      <w:r w:rsidRPr="004024BD">
        <w:rPr>
          <w:rFonts w:ascii="Arial" w:hAnsi="Arial" w:cs="Arial"/>
          <w:sz w:val="24"/>
          <w:szCs w:val="24"/>
        </w:rPr>
        <w:tab/>
      </w:r>
      <w:r w:rsidRPr="004024BD">
        <w:rPr>
          <w:rFonts w:ascii="Arial" w:hAnsi="Arial" w:cs="Arial"/>
          <w:b/>
          <w:sz w:val="24"/>
          <w:szCs w:val="24"/>
        </w:rPr>
        <w:t xml:space="preserve">Хэрэгжүүлэх арга хэмжээ: </w:t>
      </w:r>
    </w:p>
    <w:p w14:paraId="717534C4" w14:textId="77777777" w:rsidR="00EB07AB" w:rsidRPr="004024BD" w:rsidRDefault="00EB07AB" w:rsidP="00EB07AB">
      <w:pPr>
        <w:pStyle w:val="NoSpacing"/>
        <w:tabs>
          <w:tab w:val="left" w:pos="270"/>
        </w:tabs>
        <w:spacing w:after="0" w:line="240" w:lineRule="auto"/>
        <w:outlineLvl w:val="0"/>
        <w:rPr>
          <w:rFonts w:ascii="Arial" w:hAnsi="Arial" w:cs="Arial"/>
          <w:b/>
          <w:sz w:val="24"/>
          <w:szCs w:val="24"/>
        </w:rPr>
      </w:pPr>
    </w:p>
    <w:p w14:paraId="38762FC6" w14:textId="77777777" w:rsidR="00EB07AB" w:rsidRPr="004024BD" w:rsidRDefault="00EB07AB" w:rsidP="00EB07AB">
      <w:pPr>
        <w:pStyle w:val="NoSpacing"/>
        <w:numPr>
          <w:ilvl w:val="0"/>
          <w:numId w:val="5"/>
        </w:numPr>
        <w:tabs>
          <w:tab w:val="left" w:pos="270"/>
        </w:tabs>
        <w:spacing w:after="0" w:line="240" w:lineRule="auto"/>
        <w:outlineLvl w:val="0"/>
        <w:rPr>
          <w:rFonts w:ascii="Arial" w:hAnsi="Arial" w:cs="Arial"/>
          <w:sz w:val="24"/>
          <w:szCs w:val="24"/>
        </w:rPr>
      </w:pPr>
      <w:r w:rsidRPr="004024BD">
        <w:rPr>
          <w:rFonts w:ascii="Arial" w:hAnsi="Arial" w:cs="Arial"/>
          <w:sz w:val="24"/>
          <w:szCs w:val="24"/>
        </w:rPr>
        <w:t>Улирал бүр Засгийн газрын өрийн товхимлыг олон нийтэд ил тод мэдээлэх;</w:t>
      </w:r>
    </w:p>
    <w:p w14:paraId="2913A06A" w14:textId="77777777" w:rsidR="00EB07AB" w:rsidRPr="004024BD" w:rsidRDefault="00EB07AB" w:rsidP="00EB07AB">
      <w:pPr>
        <w:pStyle w:val="NoSpacing"/>
        <w:numPr>
          <w:ilvl w:val="0"/>
          <w:numId w:val="5"/>
        </w:numPr>
        <w:tabs>
          <w:tab w:val="left" w:pos="270"/>
        </w:tabs>
        <w:spacing w:after="0" w:line="240" w:lineRule="auto"/>
        <w:outlineLvl w:val="0"/>
        <w:rPr>
          <w:rFonts w:ascii="Arial" w:hAnsi="Arial" w:cs="Arial"/>
          <w:sz w:val="24"/>
          <w:szCs w:val="24"/>
        </w:rPr>
      </w:pPr>
      <w:r w:rsidRPr="004024BD">
        <w:rPr>
          <w:rFonts w:ascii="Arial" w:hAnsi="Arial" w:cs="Arial"/>
          <w:sz w:val="24"/>
          <w:szCs w:val="24"/>
        </w:rPr>
        <w:t xml:space="preserve">Улсын секторын өрийн мэдээллийг олон улсын байгууллагаас тогтоосон нэгдсэн стандартын дагуу бэлтгэж, мэдээлэх. </w:t>
      </w:r>
    </w:p>
    <w:p w14:paraId="70FDC20B" w14:textId="77777777" w:rsidR="00EB07AB" w:rsidRPr="004024BD" w:rsidRDefault="00EB07AB" w:rsidP="00EB07AB">
      <w:pPr>
        <w:pStyle w:val="NormalWeb"/>
        <w:spacing w:before="0" w:beforeAutospacing="0" w:after="0" w:afterAutospacing="0"/>
        <w:jc w:val="center"/>
        <w:outlineLvl w:val="0"/>
        <w:rPr>
          <w:rStyle w:val="Strong"/>
          <w:rFonts w:ascii="Arial" w:hAnsi="Arial" w:cs="Arial"/>
          <w:lang w:val="mn-MN"/>
        </w:rPr>
      </w:pPr>
      <w:r w:rsidRPr="004024BD">
        <w:rPr>
          <w:rStyle w:val="Strong"/>
          <w:rFonts w:ascii="Arial" w:hAnsi="Arial" w:cs="Arial"/>
          <w:lang w:val="mn-MN"/>
        </w:rPr>
        <w:lastRenderedPageBreak/>
        <w:t>7.ЗАСГИЙН ГАЗРЫН ӨРИЙН БАГЦЫН ДУНД ХУГАЦААНЫ ЗОРИЛТ</w:t>
      </w:r>
    </w:p>
    <w:p w14:paraId="520A2165" w14:textId="77777777" w:rsidR="00EB07AB" w:rsidRPr="004024BD" w:rsidRDefault="00EB07AB" w:rsidP="00EB07AB">
      <w:pPr>
        <w:pStyle w:val="NormalWeb"/>
        <w:spacing w:before="0" w:beforeAutospacing="0" w:after="0" w:afterAutospacing="0"/>
        <w:jc w:val="center"/>
        <w:outlineLvl w:val="0"/>
        <w:rPr>
          <w:rStyle w:val="Strong"/>
          <w:rFonts w:ascii="Arial" w:hAnsi="Arial" w:cs="Arial"/>
          <w:lang w:val="mn-MN"/>
        </w:rPr>
      </w:pPr>
    </w:p>
    <w:p w14:paraId="69B01434" w14:textId="77777777" w:rsidR="00EB07AB" w:rsidRPr="004024BD" w:rsidRDefault="00EB07AB" w:rsidP="00EB07AB">
      <w:pPr>
        <w:pStyle w:val="NormalWeb"/>
        <w:spacing w:before="0" w:beforeAutospacing="0" w:after="0" w:afterAutospacing="0"/>
        <w:ind w:firstLine="720"/>
        <w:jc w:val="both"/>
        <w:outlineLvl w:val="0"/>
        <w:rPr>
          <w:rFonts w:ascii="Arial" w:hAnsi="Arial" w:cs="Arial"/>
          <w:lang w:val="mn-MN"/>
        </w:rPr>
      </w:pPr>
      <w:r w:rsidRPr="004024BD">
        <w:rPr>
          <w:rFonts w:ascii="Arial" w:hAnsi="Arial" w:cs="Arial"/>
          <w:lang w:val="mn-MN"/>
        </w:rPr>
        <w:t>Засгийн газрын өрийн багцын зорилтот бүтцийг Олон улсын валютын сан, Дэлхийн банкны боловсруулсан MTDS</w:t>
      </w:r>
      <w:r w:rsidRPr="004024BD">
        <w:rPr>
          <w:rStyle w:val="FootnoteReference"/>
          <w:rFonts w:ascii="Arial" w:eastAsia="SimSun" w:hAnsi="Arial" w:cs="Arial"/>
          <w:lang w:val="mn-MN"/>
        </w:rPr>
        <w:footnoteReference w:id="11"/>
      </w:r>
      <w:r w:rsidRPr="004024BD">
        <w:rPr>
          <w:rFonts w:ascii="Arial" w:hAnsi="Arial" w:cs="Arial"/>
          <w:lang w:val="mn-MN"/>
        </w:rPr>
        <w:t xml:space="preserve"> загварчлалыг ашиглан боловсруулсан болно.</w:t>
      </w:r>
    </w:p>
    <w:p w14:paraId="2303FA0A" w14:textId="77777777" w:rsidR="00EB07AB" w:rsidRPr="004024BD" w:rsidRDefault="00EB07AB" w:rsidP="00EB07AB">
      <w:pPr>
        <w:pStyle w:val="NormalWeb"/>
        <w:spacing w:before="0" w:beforeAutospacing="0" w:after="0" w:afterAutospacing="0"/>
        <w:jc w:val="both"/>
        <w:rPr>
          <w:b/>
          <w:bCs/>
          <w:lang w:val="mn-MN"/>
        </w:rPr>
      </w:pPr>
    </w:p>
    <w:p w14:paraId="6A9C21BB" w14:textId="77777777" w:rsidR="00EB07AB" w:rsidRPr="004024BD" w:rsidRDefault="00EB07AB" w:rsidP="00EB07AB">
      <w:pPr>
        <w:spacing w:after="0" w:line="240" w:lineRule="auto"/>
        <w:jc w:val="both"/>
        <w:rPr>
          <w:rFonts w:ascii="Arial" w:eastAsia="Times New Roman" w:hAnsi="Arial" w:cs="Arial"/>
          <w:sz w:val="24"/>
          <w:szCs w:val="24"/>
          <w:lang w:val="mn-MN"/>
        </w:rPr>
      </w:pPr>
      <w:r w:rsidRPr="004024BD">
        <w:rPr>
          <w:rFonts w:ascii="Arial" w:eastAsia="Times New Roman" w:hAnsi="Arial" w:cs="Arial"/>
          <w:sz w:val="24"/>
          <w:szCs w:val="24"/>
          <w:lang w:val="mn-MN"/>
        </w:rPr>
        <w:t>       </w:t>
      </w:r>
      <w:r w:rsidRPr="004024BD">
        <w:rPr>
          <w:rFonts w:ascii="Arial" w:eastAsia="Times New Roman" w:hAnsi="Arial" w:cs="Arial"/>
          <w:sz w:val="24"/>
          <w:szCs w:val="24"/>
          <w:lang w:val="mn-MN"/>
        </w:rPr>
        <w:tab/>
        <w:t>Дэвшүүлсэн зорилтын хүрээнд шаардлагатай арга хэмжээг авч хэрэгжүүлснээр дунд хугацаанд хүрэх Засгийн газрын өрийн багцын дараах төсөөлөл, зорилтот бүтцийг хангаж ажиллана.Үүнд:</w:t>
      </w:r>
    </w:p>
    <w:p w14:paraId="02C6E372" w14:textId="77777777" w:rsidR="00EB07AB" w:rsidRPr="004024BD" w:rsidRDefault="00EB07AB" w:rsidP="00EB07AB">
      <w:pPr>
        <w:spacing w:after="0" w:line="240" w:lineRule="auto"/>
        <w:jc w:val="both"/>
        <w:rPr>
          <w:rFonts w:ascii="Arial" w:eastAsia="Times New Roman" w:hAnsi="Arial" w:cs="Arial"/>
          <w:sz w:val="24"/>
          <w:szCs w:val="24"/>
          <w:lang w:val="mn-MN"/>
        </w:rPr>
      </w:pPr>
    </w:p>
    <w:p w14:paraId="23103E18" w14:textId="77777777" w:rsidR="00EB07AB" w:rsidRPr="004024BD" w:rsidRDefault="00EB07AB" w:rsidP="00EB07AB">
      <w:pPr>
        <w:spacing w:after="0" w:line="240" w:lineRule="auto"/>
        <w:jc w:val="both"/>
        <w:rPr>
          <w:rFonts w:ascii="Arial" w:hAnsi="Arial" w:cs="Arial"/>
          <w:i/>
          <w:lang w:val="mn-MN"/>
        </w:rPr>
      </w:pPr>
      <w:r w:rsidRPr="004024BD">
        <w:rPr>
          <w:rFonts w:ascii="Arial" w:hAnsi="Arial" w:cs="Arial"/>
          <w:lang w:val="mn-MN"/>
        </w:rPr>
        <w:t xml:space="preserve">        </w:t>
      </w:r>
      <w:r w:rsidRPr="004024BD">
        <w:rPr>
          <w:rFonts w:ascii="Arial" w:hAnsi="Arial" w:cs="Arial"/>
          <w:lang w:val="mn-MN"/>
        </w:rPr>
        <w:tab/>
        <w:t>Х</w:t>
      </w:r>
      <w:r w:rsidRPr="004024BD">
        <w:rPr>
          <w:rFonts w:ascii="Arial" w:hAnsi="Arial" w:cs="Arial"/>
          <w:i/>
          <w:lang w:val="mn-MN"/>
        </w:rPr>
        <w:t>үснэгт №12: Дунд хугацааны төсөөлөл, зорилтот бүтэц</w:t>
      </w:r>
    </w:p>
    <w:tbl>
      <w:tblPr>
        <w:tblW w:w="9450" w:type="dxa"/>
        <w:tblInd w:w="447" w:type="dxa"/>
        <w:tbl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insideH w:val="single" w:sz="2" w:space="0" w:color="B4C6E7" w:themeColor="accent1" w:themeTint="66"/>
          <w:insideV w:val="single" w:sz="2" w:space="0" w:color="B4C6E7" w:themeColor="accent1" w:themeTint="66"/>
        </w:tblBorders>
        <w:tblLook w:val="04A0" w:firstRow="1" w:lastRow="0" w:firstColumn="1" w:lastColumn="0" w:noHBand="0" w:noVBand="1"/>
      </w:tblPr>
      <w:tblGrid>
        <w:gridCol w:w="3940"/>
        <w:gridCol w:w="1010"/>
        <w:gridCol w:w="1080"/>
        <w:gridCol w:w="1127"/>
        <w:gridCol w:w="1123"/>
        <w:gridCol w:w="1170"/>
      </w:tblGrid>
      <w:tr w:rsidR="00EB07AB" w:rsidRPr="004024BD" w14:paraId="7D26CD3A" w14:textId="77777777" w:rsidTr="00FD3D1D">
        <w:trPr>
          <w:trHeight w:val="61"/>
        </w:trPr>
        <w:tc>
          <w:tcPr>
            <w:tcW w:w="3940" w:type="dxa"/>
            <w:shd w:val="clear" w:color="auto" w:fill="002060"/>
            <w:noWrap/>
            <w:vAlign w:val="center"/>
            <w:hideMark/>
          </w:tcPr>
          <w:p w14:paraId="412AE29B" w14:textId="77777777" w:rsidR="00EB07AB" w:rsidRPr="004024BD" w:rsidRDefault="00EB07AB" w:rsidP="00FD3D1D">
            <w:pPr>
              <w:spacing w:after="0" w:line="240" w:lineRule="auto"/>
              <w:jc w:val="center"/>
              <w:rPr>
                <w:rFonts w:ascii="Arial" w:eastAsia="Times New Roman" w:hAnsi="Arial" w:cs="Arial"/>
                <w:b/>
                <w:color w:val="FFFFFF" w:themeColor="background1"/>
                <w:sz w:val="20"/>
                <w:szCs w:val="20"/>
                <w:lang w:val="mn-MN"/>
              </w:rPr>
            </w:pPr>
            <w:r w:rsidRPr="004024BD">
              <w:rPr>
                <w:rFonts w:ascii="Arial" w:eastAsia="Times New Roman" w:hAnsi="Arial" w:cs="Arial"/>
                <w:b/>
                <w:color w:val="FFFFFF" w:themeColor="background1"/>
                <w:sz w:val="20"/>
                <w:szCs w:val="20"/>
                <w:lang w:val="mn-MN"/>
              </w:rPr>
              <w:t>Засгийн газрын өрийн багцын үзүүлэлтүүд</w:t>
            </w:r>
          </w:p>
        </w:tc>
        <w:tc>
          <w:tcPr>
            <w:tcW w:w="1010" w:type="dxa"/>
            <w:shd w:val="clear" w:color="auto" w:fill="002060"/>
            <w:noWrap/>
            <w:vAlign w:val="center"/>
            <w:hideMark/>
          </w:tcPr>
          <w:p w14:paraId="25443485" w14:textId="77777777" w:rsidR="00EB07AB" w:rsidRPr="004024BD" w:rsidRDefault="00EB07AB" w:rsidP="00FD3D1D">
            <w:pPr>
              <w:spacing w:after="0" w:line="240" w:lineRule="auto"/>
              <w:jc w:val="center"/>
              <w:rPr>
                <w:rFonts w:ascii="Arial" w:eastAsia="Times New Roman" w:hAnsi="Arial" w:cs="Arial"/>
                <w:b/>
                <w:color w:val="FFFFFF" w:themeColor="background1"/>
                <w:sz w:val="20"/>
                <w:szCs w:val="20"/>
                <w:lang w:val="mn-MN"/>
              </w:rPr>
            </w:pPr>
            <w:r w:rsidRPr="004024BD">
              <w:rPr>
                <w:rFonts w:ascii="Arial" w:eastAsia="Times New Roman" w:hAnsi="Arial" w:cs="Arial"/>
                <w:b/>
                <w:color w:val="FFFFFF" w:themeColor="background1"/>
                <w:sz w:val="20"/>
                <w:szCs w:val="20"/>
                <w:lang w:val="mn-MN"/>
              </w:rPr>
              <w:t>2022</w:t>
            </w:r>
          </w:p>
        </w:tc>
        <w:tc>
          <w:tcPr>
            <w:tcW w:w="1080" w:type="dxa"/>
            <w:shd w:val="clear" w:color="auto" w:fill="002060"/>
            <w:noWrap/>
            <w:vAlign w:val="center"/>
            <w:hideMark/>
          </w:tcPr>
          <w:p w14:paraId="449F8E7C" w14:textId="77777777" w:rsidR="00EB07AB" w:rsidRPr="004024BD" w:rsidRDefault="00EB07AB" w:rsidP="00FD3D1D">
            <w:pPr>
              <w:spacing w:after="0" w:line="240" w:lineRule="auto"/>
              <w:jc w:val="center"/>
              <w:rPr>
                <w:rFonts w:ascii="Arial" w:eastAsia="Times New Roman" w:hAnsi="Arial" w:cs="Arial"/>
                <w:b/>
                <w:color w:val="FFFFFF" w:themeColor="background1"/>
                <w:sz w:val="20"/>
                <w:szCs w:val="20"/>
                <w:lang w:val="mn-MN"/>
              </w:rPr>
            </w:pPr>
            <w:r w:rsidRPr="004024BD">
              <w:rPr>
                <w:rFonts w:ascii="Arial" w:eastAsia="Times New Roman" w:hAnsi="Arial" w:cs="Arial"/>
                <w:b/>
                <w:color w:val="FFFFFF" w:themeColor="background1"/>
                <w:sz w:val="20"/>
                <w:szCs w:val="20"/>
                <w:lang w:val="mn-MN"/>
              </w:rPr>
              <w:t>Түвшин</w:t>
            </w:r>
          </w:p>
        </w:tc>
        <w:tc>
          <w:tcPr>
            <w:tcW w:w="1127" w:type="dxa"/>
            <w:shd w:val="clear" w:color="auto" w:fill="002060"/>
            <w:noWrap/>
            <w:vAlign w:val="center"/>
            <w:hideMark/>
          </w:tcPr>
          <w:p w14:paraId="3829FF6B" w14:textId="77777777" w:rsidR="00EB07AB" w:rsidRPr="004024BD" w:rsidRDefault="00EB07AB" w:rsidP="00FD3D1D">
            <w:pPr>
              <w:spacing w:after="0" w:line="240" w:lineRule="auto"/>
              <w:jc w:val="center"/>
              <w:rPr>
                <w:rFonts w:ascii="Arial" w:eastAsia="Times New Roman" w:hAnsi="Arial" w:cs="Arial"/>
                <w:b/>
                <w:color w:val="FFFFFF" w:themeColor="background1"/>
                <w:sz w:val="20"/>
                <w:szCs w:val="20"/>
                <w:lang w:val="mn-MN"/>
              </w:rPr>
            </w:pPr>
            <w:r w:rsidRPr="004024BD">
              <w:rPr>
                <w:rFonts w:ascii="Arial" w:eastAsia="Times New Roman" w:hAnsi="Arial" w:cs="Arial"/>
                <w:b/>
                <w:color w:val="FFFFFF" w:themeColor="background1"/>
                <w:sz w:val="20"/>
                <w:szCs w:val="20"/>
                <w:lang w:val="mn-MN"/>
              </w:rPr>
              <w:t>2023</w:t>
            </w:r>
          </w:p>
        </w:tc>
        <w:tc>
          <w:tcPr>
            <w:tcW w:w="1123" w:type="dxa"/>
            <w:shd w:val="clear" w:color="auto" w:fill="002060"/>
            <w:noWrap/>
            <w:vAlign w:val="center"/>
            <w:hideMark/>
          </w:tcPr>
          <w:p w14:paraId="3E387394" w14:textId="77777777" w:rsidR="00EB07AB" w:rsidRPr="004024BD" w:rsidRDefault="00EB07AB" w:rsidP="00FD3D1D">
            <w:pPr>
              <w:spacing w:after="0" w:line="240" w:lineRule="auto"/>
              <w:jc w:val="center"/>
              <w:rPr>
                <w:rFonts w:ascii="Arial" w:eastAsia="Times New Roman" w:hAnsi="Arial" w:cs="Arial"/>
                <w:b/>
                <w:color w:val="FFFFFF" w:themeColor="background1"/>
                <w:sz w:val="20"/>
                <w:szCs w:val="20"/>
                <w:lang w:val="mn-MN"/>
              </w:rPr>
            </w:pPr>
            <w:r w:rsidRPr="004024BD">
              <w:rPr>
                <w:rFonts w:ascii="Arial" w:eastAsia="Times New Roman" w:hAnsi="Arial" w:cs="Arial"/>
                <w:b/>
                <w:color w:val="FFFFFF" w:themeColor="background1"/>
                <w:sz w:val="20"/>
                <w:szCs w:val="20"/>
                <w:lang w:val="mn-MN"/>
              </w:rPr>
              <w:t>2024</w:t>
            </w:r>
          </w:p>
        </w:tc>
        <w:tc>
          <w:tcPr>
            <w:tcW w:w="1170" w:type="dxa"/>
            <w:shd w:val="clear" w:color="auto" w:fill="002060"/>
            <w:noWrap/>
            <w:vAlign w:val="center"/>
            <w:hideMark/>
          </w:tcPr>
          <w:p w14:paraId="16B6C817" w14:textId="77777777" w:rsidR="00EB07AB" w:rsidRPr="004024BD" w:rsidRDefault="00EB07AB" w:rsidP="00FD3D1D">
            <w:pPr>
              <w:spacing w:after="0" w:line="240" w:lineRule="auto"/>
              <w:jc w:val="center"/>
              <w:rPr>
                <w:rFonts w:ascii="Arial" w:eastAsia="Times New Roman" w:hAnsi="Arial" w:cs="Arial"/>
                <w:b/>
                <w:color w:val="FFFFFF" w:themeColor="background1"/>
                <w:sz w:val="20"/>
                <w:szCs w:val="20"/>
                <w:lang w:val="mn-MN"/>
              </w:rPr>
            </w:pPr>
            <w:r w:rsidRPr="004024BD">
              <w:rPr>
                <w:rFonts w:ascii="Arial" w:eastAsia="Times New Roman" w:hAnsi="Arial" w:cs="Arial"/>
                <w:b/>
                <w:color w:val="FFFFFF" w:themeColor="background1"/>
                <w:sz w:val="20"/>
                <w:szCs w:val="20"/>
                <w:lang w:val="mn-MN"/>
              </w:rPr>
              <w:t>2025</w:t>
            </w:r>
          </w:p>
        </w:tc>
      </w:tr>
      <w:tr w:rsidR="00EB07AB" w:rsidRPr="004024BD" w14:paraId="5772E961" w14:textId="77777777" w:rsidTr="00FD3D1D">
        <w:trPr>
          <w:trHeight w:val="71"/>
        </w:trPr>
        <w:tc>
          <w:tcPr>
            <w:tcW w:w="3940" w:type="dxa"/>
            <w:shd w:val="clear" w:color="auto" w:fill="auto"/>
            <w:noWrap/>
            <w:vAlign w:val="center"/>
            <w:hideMark/>
          </w:tcPr>
          <w:p w14:paraId="549C3716" w14:textId="77777777" w:rsidR="00EB07AB" w:rsidRPr="004024BD" w:rsidRDefault="00EB07AB" w:rsidP="00FD3D1D">
            <w:pPr>
              <w:pStyle w:val="ListParagraph"/>
              <w:numPr>
                <w:ilvl w:val="0"/>
                <w:numId w:val="2"/>
              </w:numPr>
              <w:tabs>
                <w:tab w:val="left" w:pos="255"/>
              </w:tabs>
              <w:spacing w:after="0" w:line="240" w:lineRule="auto"/>
              <w:ind w:left="0" w:firstLine="0"/>
              <w:rPr>
                <w:rFonts w:ascii="Arial" w:eastAsia="Times New Roman" w:hAnsi="Arial" w:cs="Arial"/>
                <w:b/>
                <w:color w:val="000000"/>
                <w:sz w:val="20"/>
                <w:szCs w:val="20"/>
                <w:lang w:val="mn-MN"/>
              </w:rPr>
            </w:pPr>
            <w:r w:rsidRPr="004024BD">
              <w:rPr>
                <w:rFonts w:ascii="Arial" w:eastAsia="Times New Roman" w:hAnsi="Arial" w:cs="Arial"/>
                <w:b/>
                <w:color w:val="000000"/>
                <w:sz w:val="20"/>
                <w:szCs w:val="20"/>
                <w:lang w:val="mn-MN"/>
              </w:rPr>
              <w:t>Өрийн зардал</w:t>
            </w:r>
          </w:p>
        </w:tc>
        <w:tc>
          <w:tcPr>
            <w:tcW w:w="1010" w:type="dxa"/>
            <w:shd w:val="clear" w:color="auto" w:fill="auto"/>
            <w:noWrap/>
            <w:vAlign w:val="center"/>
            <w:hideMark/>
          </w:tcPr>
          <w:p w14:paraId="07FA1B24" w14:textId="77777777" w:rsidR="00EB07AB" w:rsidRPr="004024BD" w:rsidRDefault="00EB07AB" w:rsidP="00FD3D1D">
            <w:pPr>
              <w:spacing w:after="0" w:line="240" w:lineRule="auto"/>
              <w:rPr>
                <w:rFonts w:ascii="Arial" w:eastAsia="Times New Roman" w:hAnsi="Arial" w:cs="Arial"/>
                <w:b/>
                <w:color w:val="000000"/>
                <w:sz w:val="20"/>
                <w:szCs w:val="20"/>
                <w:lang w:val="mn-MN"/>
              </w:rPr>
            </w:pPr>
          </w:p>
        </w:tc>
        <w:tc>
          <w:tcPr>
            <w:tcW w:w="1080" w:type="dxa"/>
            <w:shd w:val="clear" w:color="auto" w:fill="auto"/>
            <w:noWrap/>
            <w:vAlign w:val="center"/>
            <w:hideMark/>
          </w:tcPr>
          <w:p w14:paraId="20EFE6E2" w14:textId="77777777" w:rsidR="00EB07AB" w:rsidRPr="004024BD" w:rsidRDefault="00EB07AB" w:rsidP="00FD3D1D">
            <w:pPr>
              <w:spacing w:after="0" w:line="240" w:lineRule="auto"/>
              <w:rPr>
                <w:rFonts w:ascii="Arial" w:eastAsia="Times New Roman" w:hAnsi="Arial" w:cs="Arial"/>
                <w:sz w:val="20"/>
                <w:szCs w:val="20"/>
                <w:lang w:val="mn-MN"/>
              </w:rPr>
            </w:pPr>
          </w:p>
        </w:tc>
        <w:tc>
          <w:tcPr>
            <w:tcW w:w="1127" w:type="dxa"/>
            <w:shd w:val="clear" w:color="auto" w:fill="auto"/>
            <w:noWrap/>
            <w:vAlign w:val="center"/>
            <w:hideMark/>
          </w:tcPr>
          <w:p w14:paraId="2E79256C" w14:textId="77777777" w:rsidR="00EB07AB" w:rsidRPr="004024BD" w:rsidRDefault="00EB07AB" w:rsidP="00FD3D1D">
            <w:pPr>
              <w:spacing w:after="0" w:line="240" w:lineRule="auto"/>
              <w:jc w:val="center"/>
              <w:rPr>
                <w:rFonts w:ascii="Arial" w:eastAsia="Times New Roman" w:hAnsi="Arial" w:cs="Arial"/>
                <w:sz w:val="20"/>
                <w:szCs w:val="20"/>
                <w:lang w:val="mn-MN"/>
              </w:rPr>
            </w:pPr>
          </w:p>
        </w:tc>
        <w:tc>
          <w:tcPr>
            <w:tcW w:w="1123" w:type="dxa"/>
            <w:shd w:val="clear" w:color="auto" w:fill="auto"/>
            <w:noWrap/>
            <w:vAlign w:val="center"/>
            <w:hideMark/>
          </w:tcPr>
          <w:p w14:paraId="789D7859" w14:textId="77777777" w:rsidR="00EB07AB" w:rsidRPr="004024BD" w:rsidRDefault="00EB07AB" w:rsidP="00FD3D1D">
            <w:pPr>
              <w:spacing w:after="0" w:line="240" w:lineRule="auto"/>
              <w:jc w:val="center"/>
              <w:rPr>
                <w:rFonts w:ascii="Arial" w:eastAsia="Times New Roman" w:hAnsi="Arial" w:cs="Arial"/>
                <w:sz w:val="20"/>
                <w:szCs w:val="20"/>
                <w:lang w:val="mn-MN"/>
              </w:rPr>
            </w:pPr>
          </w:p>
        </w:tc>
        <w:tc>
          <w:tcPr>
            <w:tcW w:w="1170" w:type="dxa"/>
            <w:shd w:val="clear" w:color="auto" w:fill="auto"/>
            <w:noWrap/>
            <w:vAlign w:val="center"/>
            <w:hideMark/>
          </w:tcPr>
          <w:p w14:paraId="4C1EDF8C" w14:textId="77777777" w:rsidR="00EB07AB" w:rsidRPr="004024BD" w:rsidRDefault="00EB07AB" w:rsidP="00FD3D1D">
            <w:pPr>
              <w:spacing w:after="0" w:line="240" w:lineRule="auto"/>
              <w:jc w:val="center"/>
              <w:rPr>
                <w:rFonts w:ascii="Arial" w:eastAsia="Times New Roman" w:hAnsi="Arial" w:cs="Arial"/>
                <w:sz w:val="20"/>
                <w:szCs w:val="20"/>
                <w:lang w:val="mn-MN"/>
              </w:rPr>
            </w:pPr>
          </w:p>
        </w:tc>
      </w:tr>
      <w:tr w:rsidR="00EB07AB" w:rsidRPr="004024BD" w14:paraId="34833D2F" w14:textId="77777777" w:rsidTr="00FD3D1D">
        <w:trPr>
          <w:trHeight w:val="63"/>
        </w:trPr>
        <w:tc>
          <w:tcPr>
            <w:tcW w:w="3940" w:type="dxa"/>
            <w:shd w:val="clear" w:color="auto" w:fill="auto"/>
            <w:noWrap/>
            <w:vAlign w:val="center"/>
            <w:hideMark/>
          </w:tcPr>
          <w:p w14:paraId="6E70212D" w14:textId="77777777" w:rsidR="00EB07AB" w:rsidRPr="004024BD" w:rsidRDefault="00EB07AB" w:rsidP="00FD3D1D">
            <w:pPr>
              <w:spacing w:after="0" w:line="240" w:lineRule="auto"/>
              <w:ind w:firstLineChars="200" w:firstLine="400"/>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Жигнэсэн дундаж хүү /хувь/</w:t>
            </w:r>
          </w:p>
        </w:tc>
        <w:tc>
          <w:tcPr>
            <w:tcW w:w="1010" w:type="dxa"/>
            <w:shd w:val="clear" w:color="auto" w:fill="auto"/>
            <w:noWrap/>
            <w:vAlign w:val="center"/>
            <w:hideMark/>
          </w:tcPr>
          <w:p w14:paraId="5EB5AD9D" w14:textId="77777777" w:rsidR="00EB07AB" w:rsidRPr="004024BD" w:rsidRDefault="00EB07AB" w:rsidP="00FD3D1D">
            <w:pPr>
              <w:spacing w:after="0" w:line="240" w:lineRule="auto"/>
              <w:jc w:val="center"/>
              <w:rPr>
                <w:rFonts w:ascii="Arial" w:eastAsia="Times New Roman" w:hAnsi="Arial" w:cs="Arial"/>
                <w:b/>
                <w:color w:val="000000"/>
                <w:sz w:val="20"/>
                <w:szCs w:val="20"/>
                <w:lang w:val="mn-MN"/>
              </w:rPr>
            </w:pPr>
            <w:r w:rsidRPr="004024BD">
              <w:rPr>
                <w:rFonts w:ascii="Arial" w:eastAsia="Times New Roman" w:hAnsi="Arial" w:cs="Arial"/>
                <w:b/>
                <w:color w:val="000000"/>
                <w:sz w:val="20"/>
                <w:szCs w:val="20"/>
                <w:lang w:val="mn-MN"/>
              </w:rPr>
              <w:t>3.0</w:t>
            </w:r>
          </w:p>
        </w:tc>
        <w:tc>
          <w:tcPr>
            <w:tcW w:w="1080" w:type="dxa"/>
            <w:shd w:val="clear" w:color="auto" w:fill="auto"/>
            <w:noWrap/>
            <w:vAlign w:val="center"/>
            <w:hideMark/>
          </w:tcPr>
          <w:p w14:paraId="7AD23A05" w14:textId="77777777" w:rsidR="00EB07AB" w:rsidRPr="004024BD" w:rsidRDefault="00EB07AB" w:rsidP="00FD3D1D">
            <w:pPr>
              <w:spacing w:after="0" w:line="240" w:lineRule="auto"/>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Дээд</w:t>
            </w:r>
          </w:p>
        </w:tc>
        <w:tc>
          <w:tcPr>
            <w:tcW w:w="1127" w:type="dxa"/>
            <w:shd w:val="clear" w:color="auto" w:fill="auto"/>
            <w:noWrap/>
            <w:vAlign w:val="center"/>
            <w:hideMark/>
          </w:tcPr>
          <w:p w14:paraId="6E08D7C9" w14:textId="77777777" w:rsidR="00EB07AB" w:rsidRPr="004024BD" w:rsidRDefault="00EB07AB" w:rsidP="00FD3D1D">
            <w:pPr>
              <w:spacing w:after="0" w:line="240" w:lineRule="auto"/>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3.8</w:t>
            </w:r>
          </w:p>
        </w:tc>
        <w:tc>
          <w:tcPr>
            <w:tcW w:w="1123" w:type="dxa"/>
            <w:shd w:val="clear" w:color="auto" w:fill="auto"/>
            <w:noWrap/>
            <w:vAlign w:val="center"/>
            <w:hideMark/>
          </w:tcPr>
          <w:p w14:paraId="644B3187" w14:textId="77777777" w:rsidR="00EB07AB" w:rsidRPr="004024BD" w:rsidRDefault="00EB07AB" w:rsidP="00FD3D1D">
            <w:pPr>
              <w:spacing w:after="0" w:line="240" w:lineRule="auto"/>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4.3</w:t>
            </w:r>
          </w:p>
        </w:tc>
        <w:tc>
          <w:tcPr>
            <w:tcW w:w="1170" w:type="dxa"/>
            <w:shd w:val="clear" w:color="auto" w:fill="auto"/>
            <w:noWrap/>
            <w:vAlign w:val="center"/>
            <w:hideMark/>
          </w:tcPr>
          <w:p w14:paraId="33B7FD75" w14:textId="77777777" w:rsidR="00EB07AB" w:rsidRPr="004024BD" w:rsidRDefault="00EB07AB" w:rsidP="00FD3D1D">
            <w:pPr>
              <w:spacing w:after="0" w:line="240" w:lineRule="auto"/>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4.8</w:t>
            </w:r>
          </w:p>
        </w:tc>
      </w:tr>
      <w:tr w:rsidR="00EB07AB" w:rsidRPr="004024BD" w14:paraId="0662D92A" w14:textId="77777777" w:rsidTr="00FD3D1D">
        <w:trPr>
          <w:trHeight w:val="114"/>
        </w:trPr>
        <w:tc>
          <w:tcPr>
            <w:tcW w:w="3940" w:type="dxa"/>
            <w:shd w:val="clear" w:color="auto" w:fill="auto"/>
            <w:noWrap/>
            <w:vAlign w:val="center"/>
            <w:hideMark/>
          </w:tcPr>
          <w:p w14:paraId="29CEF916" w14:textId="77777777" w:rsidR="00EB07AB" w:rsidRPr="004024BD" w:rsidRDefault="00EB07AB" w:rsidP="00FD3D1D">
            <w:pPr>
              <w:pStyle w:val="ListParagraph"/>
              <w:numPr>
                <w:ilvl w:val="0"/>
                <w:numId w:val="2"/>
              </w:numPr>
              <w:tabs>
                <w:tab w:val="left" w:pos="255"/>
              </w:tabs>
              <w:spacing w:after="0" w:line="240" w:lineRule="auto"/>
              <w:ind w:left="0" w:firstLine="0"/>
              <w:rPr>
                <w:rFonts w:ascii="Arial" w:eastAsia="Times New Roman" w:hAnsi="Arial" w:cs="Arial"/>
                <w:b/>
                <w:color w:val="000000"/>
                <w:sz w:val="20"/>
                <w:szCs w:val="20"/>
                <w:lang w:val="mn-MN"/>
              </w:rPr>
            </w:pPr>
            <w:r w:rsidRPr="004024BD">
              <w:rPr>
                <w:rFonts w:ascii="Arial" w:eastAsia="Times New Roman" w:hAnsi="Arial" w:cs="Arial"/>
                <w:b/>
                <w:color w:val="000000"/>
                <w:sz w:val="20"/>
                <w:szCs w:val="20"/>
                <w:lang w:val="mn-MN"/>
              </w:rPr>
              <w:t>Дахин Санхүүжилтийн эрсдэл</w:t>
            </w:r>
          </w:p>
        </w:tc>
        <w:tc>
          <w:tcPr>
            <w:tcW w:w="1010" w:type="dxa"/>
            <w:shd w:val="clear" w:color="auto" w:fill="auto"/>
            <w:noWrap/>
            <w:vAlign w:val="center"/>
            <w:hideMark/>
          </w:tcPr>
          <w:p w14:paraId="04367FA3" w14:textId="77777777" w:rsidR="00EB07AB" w:rsidRPr="004024BD" w:rsidRDefault="00EB07AB" w:rsidP="00FD3D1D">
            <w:pPr>
              <w:spacing w:after="0" w:line="240" w:lineRule="auto"/>
              <w:rPr>
                <w:rFonts w:ascii="Arial" w:eastAsia="Times New Roman" w:hAnsi="Arial" w:cs="Arial"/>
                <w:b/>
                <w:color w:val="000000"/>
                <w:sz w:val="20"/>
                <w:szCs w:val="20"/>
                <w:lang w:val="mn-MN"/>
              </w:rPr>
            </w:pPr>
          </w:p>
        </w:tc>
        <w:tc>
          <w:tcPr>
            <w:tcW w:w="1080" w:type="dxa"/>
            <w:shd w:val="clear" w:color="auto" w:fill="auto"/>
            <w:noWrap/>
            <w:vAlign w:val="center"/>
          </w:tcPr>
          <w:p w14:paraId="39CB3DFF" w14:textId="77777777" w:rsidR="00EB07AB" w:rsidRPr="004024BD" w:rsidRDefault="00EB07AB" w:rsidP="00FD3D1D">
            <w:pPr>
              <w:spacing w:after="0" w:line="240" w:lineRule="auto"/>
              <w:rPr>
                <w:rFonts w:ascii="Arial" w:eastAsia="Times New Roman" w:hAnsi="Arial" w:cs="Arial"/>
                <w:sz w:val="20"/>
                <w:szCs w:val="20"/>
                <w:lang w:val="mn-MN"/>
              </w:rPr>
            </w:pPr>
          </w:p>
        </w:tc>
        <w:tc>
          <w:tcPr>
            <w:tcW w:w="1127" w:type="dxa"/>
            <w:shd w:val="clear" w:color="auto" w:fill="auto"/>
            <w:noWrap/>
            <w:vAlign w:val="center"/>
          </w:tcPr>
          <w:p w14:paraId="451638CD" w14:textId="77777777" w:rsidR="00EB07AB" w:rsidRPr="004024BD" w:rsidRDefault="00EB07AB" w:rsidP="00FD3D1D">
            <w:pPr>
              <w:spacing w:after="0" w:line="240" w:lineRule="auto"/>
              <w:jc w:val="center"/>
              <w:rPr>
                <w:rFonts w:ascii="Arial" w:eastAsia="Times New Roman" w:hAnsi="Arial" w:cs="Arial"/>
                <w:sz w:val="20"/>
                <w:szCs w:val="20"/>
                <w:lang w:val="mn-MN"/>
              </w:rPr>
            </w:pPr>
          </w:p>
        </w:tc>
        <w:tc>
          <w:tcPr>
            <w:tcW w:w="1123" w:type="dxa"/>
            <w:shd w:val="clear" w:color="auto" w:fill="auto"/>
            <w:noWrap/>
            <w:vAlign w:val="center"/>
          </w:tcPr>
          <w:p w14:paraId="008DF029" w14:textId="77777777" w:rsidR="00EB07AB" w:rsidRPr="004024BD" w:rsidRDefault="00EB07AB" w:rsidP="00FD3D1D">
            <w:pPr>
              <w:spacing w:after="0" w:line="240" w:lineRule="auto"/>
              <w:jc w:val="center"/>
              <w:rPr>
                <w:rFonts w:ascii="Arial" w:eastAsia="Times New Roman" w:hAnsi="Arial" w:cs="Arial"/>
                <w:sz w:val="20"/>
                <w:szCs w:val="20"/>
                <w:lang w:val="mn-MN"/>
              </w:rPr>
            </w:pPr>
          </w:p>
        </w:tc>
        <w:tc>
          <w:tcPr>
            <w:tcW w:w="1170" w:type="dxa"/>
            <w:shd w:val="clear" w:color="auto" w:fill="auto"/>
            <w:noWrap/>
            <w:vAlign w:val="center"/>
          </w:tcPr>
          <w:p w14:paraId="604306A5" w14:textId="77777777" w:rsidR="00EB07AB" w:rsidRPr="004024BD" w:rsidRDefault="00EB07AB" w:rsidP="00FD3D1D">
            <w:pPr>
              <w:spacing w:after="0" w:line="240" w:lineRule="auto"/>
              <w:jc w:val="center"/>
              <w:rPr>
                <w:rFonts w:ascii="Arial" w:eastAsia="Times New Roman" w:hAnsi="Arial" w:cs="Arial"/>
                <w:sz w:val="20"/>
                <w:szCs w:val="20"/>
                <w:lang w:val="mn-MN"/>
              </w:rPr>
            </w:pPr>
          </w:p>
        </w:tc>
      </w:tr>
      <w:tr w:rsidR="00EB07AB" w:rsidRPr="004024BD" w14:paraId="580F1720" w14:textId="77777777" w:rsidTr="00FD3D1D">
        <w:trPr>
          <w:trHeight w:val="63"/>
        </w:trPr>
        <w:tc>
          <w:tcPr>
            <w:tcW w:w="3940" w:type="dxa"/>
            <w:shd w:val="clear" w:color="auto" w:fill="auto"/>
            <w:noWrap/>
            <w:vAlign w:val="center"/>
            <w:hideMark/>
          </w:tcPr>
          <w:p w14:paraId="1931CA72" w14:textId="77777777" w:rsidR="00EB07AB" w:rsidRPr="004024BD" w:rsidRDefault="00EB07AB" w:rsidP="00FD3D1D">
            <w:pPr>
              <w:spacing w:after="0" w:line="240" w:lineRule="auto"/>
              <w:ind w:firstLineChars="200" w:firstLine="400"/>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Засгийн газрын өрийн эргэн</w:t>
            </w:r>
          </w:p>
          <w:p w14:paraId="26303502" w14:textId="77777777" w:rsidR="00EB07AB" w:rsidRPr="004024BD" w:rsidRDefault="00EB07AB" w:rsidP="00FD3D1D">
            <w:pPr>
              <w:spacing w:after="0" w:line="240" w:lineRule="auto"/>
              <w:ind w:firstLineChars="200" w:firstLine="400"/>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төлөгдөх дундаж хугацаа /жил/</w:t>
            </w:r>
          </w:p>
        </w:tc>
        <w:tc>
          <w:tcPr>
            <w:tcW w:w="1010" w:type="dxa"/>
            <w:shd w:val="clear" w:color="auto" w:fill="auto"/>
            <w:noWrap/>
            <w:vAlign w:val="center"/>
            <w:hideMark/>
          </w:tcPr>
          <w:p w14:paraId="226E4D0B" w14:textId="77777777" w:rsidR="00EB07AB" w:rsidRPr="004024BD" w:rsidRDefault="00EB07AB" w:rsidP="00FD3D1D">
            <w:pPr>
              <w:spacing w:after="0" w:line="240" w:lineRule="auto"/>
              <w:jc w:val="center"/>
              <w:rPr>
                <w:rFonts w:ascii="Arial" w:eastAsia="Times New Roman" w:hAnsi="Arial" w:cs="Arial"/>
                <w:b/>
                <w:color w:val="000000"/>
                <w:sz w:val="20"/>
                <w:szCs w:val="20"/>
                <w:lang w:val="mn-MN"/>
              </w:rPr>
            </w:pPr>
            <w:r w:rsidRPr="004024BD">
              <w:rPr>
                <w:rFonts w:ascii="Arial" w:eastAsia="Times New Roman" w:hAnsi="Arial" w:cs="Arial"/>
                <w:b/>
                <w:color w:val="000000"/>
                <w:sz w:val="20"/>
                <w:szCs w:val="20"/>
                <w:lang w:val="mn-MN"/>
              </w:rPr>
              <w:t>8.4</w:t>
            </w:r>
          </w:p>
        </w:tc>
        <w:tc>
          <w:tcPr>
            <w:tcW w:w="1080" w:type="dxa"/>
            <w:shd w:val="clear" w:color="auto" w:fill="auto"/>
            <w:noWrap/>
            <w:vAlign w:val="center"/>
          </w:tcPr>
          <w:p w14:paraId="7C8E6520" w14:textId="77777777" w:rsidR="00EB07AB" w:rsidRPr="004024BD" w:rsidRDefault="00EB07AB" w:rsidP="00FD3D1D">
            <w:pPr>
              <w:spacing w:after="0" w:line="240" w:lineRule="auto"/>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Доод</w:t>
            </w:r>
          </w:p>
        </w:tc>
        <w:tc>
          <w:tcPr>
            <w:tcW w:w="1127" w:type="dxa"/>
            <w:shd w:val="clear" w:color="auto" w:fill="auto"/>
            <w:noWrap/>
            <w:vAlign w:val="center"/>
          </w:tcPr>
          <w:p w14:paraId="7DCA7D6C" w14:textId="77777777" w:rsidR="00EB07AB" w:rsidRPr="004024BD" w:rsidRDefault="00EB07AB" w:rsidP="00FD3D1D">
            <w:pPr>
              <w:spacing w:after="0" w:line="240" w:lineRule="auto"/>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7.8</w:t>
            </w:r>
          </w:p>
        </w:tc>
        <w:tc>
          <w:tcPr>
            <w:tcW w:w="1123" w:type="dxa"/>
            <w:shd w:val="clear" w:color="auto" w:fill="auto"/>
            <w:noWrap/>
            <w:vAlign w:val="center"/>
          </w:tcPr>
          <w:p w14:paraId="5C3AA1BA" w14:textId="77777777" w:rsidR="00EB07AB" w:rsidRPr="004024BD" w:rsidRDefault="00EB07AB" w:rsidP="00FD3D1D">
            <w:pPr>
              <w:spacing w:after="0" w:line="240" w:lineRule="auto"/>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7.3</w:t>
            </w:r>
          </w:p>
        </w:tc>
        <w:tc>
          <w:tcPr>
            <w:tcW w:w="1170" w:type="dxa"/>
            <w:shd w:val="clear" w:color="auto" w:fill="auto"/>
            <w:noWrap/>
            <w:vAlign w:val="center"/>
          </w:tcPr>
          <w:p w14:paraId="505B4266" w14:textId="77777777" w:rsidR="00EB07AB" w:rsidRPr="004024BD" w:rsidRDefault="00EB07AB" w:rsidP="00FD3D1D">
            <w:pPr>
              <w:spacing w:after="0" w:line="240" w:lineRule="auto"/>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6.8</w:t>
            </w:r>
          </w:p>
        </w:tc>
      </w:tr>
      <w:tr w:rsidR="00EB07AB" w:rsidRPr="004024BD" w14:paraId="3A73EE5B" w14:textId="77777777" w:rsidTr="00FD3D1D">
        <w:trPr>
          <w:trHeight w:val="237"/>
        </w:trPr>
        <w:tc>
          <w:tcPr>
            <w:tcW w:w="3940" w:type="dxa"/>
            <w:shd w:val="clear" w:color="auto" w:fill="auto"/>
            <w:noWrap/>
            <w:vAlign w:val="center"/>
            <w:hideMark/>
          </w:tcPr>
          <w:p w14:paraId="55F6F8D2" w14:textId="77777777" w:rsidR="00EB07AB" w:rsidRPr="004024BD" w:rsidRDefault="00EB07AB" w:rsidP="00FD3D1D">
            <w:pPr>
              <w:pStyle w:val="ListParagraph"/>
              <w:numPr>
                <w:ilvl w:val="0"/>
                <w:numId w:val="2"/>
              </w:numPr>
              <w:tabs>
                <w:tab w:val="left" w:pos="255"/>
              </w:tabs>
              <w:spacing w:after="0" w:line="240" w:lineRule="auto"/>
              <w:ind w:left="0" w:firstLine="0"/>
              <w:rPr>
                <w:rFonts w:ascii="Arial" w:eastAsia="Times New Roman" w:hAnsi="Arial" w:cs="Arial"/>
                <w:b/>
                <w:color w:val="000000"/>
                <w:sz w:val="20"/>
                <w:szCs w:val="20"/>
                <w:lang w:val="mn-MN"/>
              </w:rPr>
            </w:pPr>
            <w:r w:rsidRPr="004024BD">
              <w:rPr>
                <w:rFonts w:ascii="Arial" w:eastAsia="Times New Roman" w:hAnsi="Arial" w:cs="Arial"/>
                <w:b/>
                <w:color w:val="000000"/>
                <w:sz w:val="20"/>
                <w:szCs w:val="20"/>
                <w:lang w:val="mn-MN"/>
              </w:rPr>
              <w:t>Хүүгийн эрсдэл</w:t>
            </w:r>
          </w:p>
        </w:tc>
        <w:tc>
          <w:tcPr>
            <w:tcW w:w="1010" w:type="dxa"/>
            <w:shd w:val="clear" w:color="auto" w:fill="auto"/>
            <w:noWrap/>
            <w:vAlign w:val="center"/>
            <w:hideMark/>
          </w:tcPr>
          <w:p w14:paraId="7EB47417" w14:textId="77777777" w:rsidR="00EB07AB" w:rsidRPr="004024BD" w:rsidRDefault="00EB07AB" w:rsidP="00FD3D1D">
            <w:pPr>
              <w:spacing w:after="0" w:line="240" w:lineRule="auto"/>
              <w:rPr>
                <w:rFonts w:ascii="Arial" w:eastAsia="Times New Roman" w:hAnsi="Arial" w:cs="Arial"/>
                <w:b/>
                <w:color w:val="000000"/>
                <w:sz w:val="20"/>
                <w:szCs w:val="20"/>
                <w:lang w:val="mn-MN"/>
              </w:rPr>
            </w:pPr>
          </w:p>
        </w:tc>
        <w:tc>
          <w:tcPr>
            <w:tcW w:w="1080" w:type="dxa"/>
            <w:shd w:val="clear" w:color="auto" w:fill="auto"/>
            <w:noWrap/>
            <w:vAlign w:val="center"/>
            <w:hideMark/>
          </w:tcPr>
          <w:p w14:paraId="6BD69475" w14:textId="77777777" w:rsidR="00EB07AB" w:rsidRPr="004024BD" w:rsidRDefault="00EB07AB" w:rsidP="00FD3D1D">
            <w:pPr>
              <w:spacing w:after="0" w:line="240" w:lineRule="auto"/>
              <w:rPr>
                <w:rFonts w:ascii="Arial" w:eastAsia="Times New Roman" w:hAnsi="Arial" w:cs="Arial"/>
                <w:sz w:val="20"/>
                <w:szCs w:val="20"/>
                <w:lang w:val="mn-MN"/>
              </w:rPr>
            </w:pPr>
          </w:p>
        </w:tc>
        <w:tc>
          <w:tcPr>
            <w:tcW w:w="1127" w:type="dxa"/>
            <w:shd w:val="clear" w:color="auto" w:fill="auto"/>
            <w:noWrap/>
            <w:vAlign w:val="center"/>
            <w:hideMark/>
          </w:tcPr>
          <w:p w14:paraId="220A4152" w14:textId="77777777" w:rsidR="00EB07AB" w:rsidRPr="004024BD" w:rsidRDefault="00EB07AB" w:rsidP="00FD3D1D">
            <w:pPr>
              <w:spacing w:after="0" w:line="240" w:lineRule="auto"/>
              <w:jc w:val="center"/>
              <w:rPr>
                <w:rFonts w:ascii="Arial" w:eastAsia="Times New Roman" w:hAnsi="Arial" w:cs="Arial"/>
                <w:sz w:val="20"/>
                <w:szCs w:val="20"/>
                <w:lang w:val="mn-MN"/>
              </w:rPr>
            </w:pPr>
          </w:p>
        </w:tc>
        <w:tc>
          <w:tcPr>
            <w:tcW w:w="1123" w:type="dxa"/>
            <w:shd w:val="clear" w:color="auto" w:fill="auto"/>
            <w:noWrap/>
            <w:vAlign w:val="center"/>
            <w:hideMark/>
          </w:tcPr>
          <w:p w14:paraId="7E78A128" w14:textId="77777777" w:rsidR="00EB07AB" w:rsidRPr="004024BD" w:rsidRDefault="00EB07AB" w:rsidP="00FD3D1D">
            <w:pPr>
              <w:spacing w:after="0" w:line="240" w:lineRule="auto"/>
              <w:jc w:val="center"/>
              <w:rPr>
                <w:rFonts w:ascii="Arial" w:eastAsia="Times New Roman" w:hAnsi="Arial" w:cs="Arial"/>
                <w:sz w:val="20"/>
                <w:szCs w:val="20"/>
                <w:lang w:val="mn-MN"/>
              </w:rPr>
            </w:pPr>
          </w:p>
        </w:tc>
        <w:tc>
          <w:tcPr>
            <w:tcW w:w="1170" w:type="dxa"/>
            <w:shd w:val="clear" w:color="auto" w:fill="auto"/>
            <w:noWrap/>
            <w:vAlign w:val="center"/>
            <w:hideMark/>
          </w:tcPr>
          <w:p w14:paraId="74CB6879" w14:textId="77777777" w:rsidR="00EB07AB" w:rsidRPr="004024BD" w:rsidRDefault="00EB07AB" w:rsidP="00FD3D1D">
            <w:pPr>
              <w:spacing w:after="0" w:line="240" w:lineRule="auto"/>
              <w:jc w:val="center"/>
              <w:rPr>
                <w:rFonts w:ascii="Arial" w:eastAsia="Times New Roman" w:hAnsi="Arial" w:cs="Arial"/>
                <w:sz w:val="20"/>
                <w:szCs w:val="20"/>
                <w:lang w:val="mn-MN"/>
              </w:rPr>
            </w:pPr>
          </w:p>
        </w:tc>
      </w:tr>
      <w:tr w:rsidR="00EB07AB" w:rsidRPr="004024BD" w14:paraId="7A03EDD1" w14:textId="77777777" w:rsidTr="00FD3D1D">
        <w:trPr>
          <w:trHeight w:val="63"/>
        </w:trPr>
        <w:tc>
          <w:tcPr>
            <w:tcW w:w="3940" w:type="dxa"/>
            <w:shd w:val="clear" w:color="auto" w:fill="auto"/>
            <w:noWrap/>
            <w:vAlign w:val="center"/>
            <w:hideMark/>
          </w:tcPr>
          <w:p w14:paraId="0C8BF167" w14:textId="77777777" w:rsidR="00EB07AB" w:rsidRPr="004024BD" w:rsidRDefault="00EB07AB" w:rsidP="00FD3D1D">
            <w:pPr>
              <w:spacing w:after="0" w:line="240" w:lineRule="auto"/>
              <w:ind w:firstLineChars="200" w:firstLine="400"/>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Засгийн газрын өрийн ATR  /жил/</w:t>
            </w:r>
          </w:p>
        </w:tc>
        <w:tc>
          <w:tcPr>
            <w:tcW w:w="1010" w:type="dxa"/>
            <w:shd w:val="clear" w:color="auto" w:fill="auto"/>
            <w:noWrap/>
            <w:vAlign w:val="center"/>
            <w:hideMark/>
          </w:tcPr>
          <w:p w14:paraId="6FB8B5CF" w14:textId="77777777" w:rsidR="00EB07AB" w:rsidRPr="004024BD" w:rsidRDefault="00EB07AB" w:rsidP="00FD3D1D">
            <w:pPr>
              <w:spacing w:after="0" w:line="240" w:lineRule="auto"/>
              <w:jc w:val="center"/>
              <w:rPr>
                <w:rFonts w:ascii="Arial" w:eastAsia="Times New Roman" w:hAnsi="Arial" w:cs="Arial"/>
                <w:b/>
                <w:color w:val="000000"/>
                <w:sz w:val="20"/>
                <w:szCs w:val="20"/>
                <w:lang w:val="mn-MN"/>
              </w:rPr>
            </w:pPr>
            <w:r w:rsidRPr="004024BD">
              <w:rPr>
                <w:rFonts w:ascii="Arial" w:eastAsia="Times New Roman" w:hAnsi="Arial" w:cs="Arial"/>
                <w:b/>
                <w:color w:val="000000"/>
                <w:sz w:val="20"/>
                <w:szCs w:val="20"/>
                <w:lang w:val="mn-MN"/>
              </w:rPr>
              <w:t>7.5</w:t>
            </w:r>
          </w:p>
        </w:tc>
        <w:tc>
          <w:tcPr>
            <w:tcW w:w="1080" w:type="dxa"/>
            <w:shd w:val="clear" w:color="auto" w:fill="auto"/>
            <w:noWrap/>
            <w:vAlign w:val="center"/>
          </w:tcPr>
          <w:p w14:paraId="1C23CBA6" w14:textId="77777777" w:rsidR="00EB07AB" w:rsidRPr="004024BD" w:rsidRDefault="00EB07AB" w:rsidP="00FD3D1D">
            <w:pPr>
              <w:spacing w:after="0" w:line="240" w:lineRule="auto"/>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Доод</w:t>
            </w:r>
          </w:p>
        </w:tc>
        <w:tc>
          <w:tcPr>
            <w:tcW w:w="1127" w:type="dxa"/>
            <w:shd w:val="clear" w:color="auto" w:fill="auto"/>
            <w:noWrap/>
            <w:vAlign w:val="center"/>
          </w:tcPr>
          <w:p w14:paraId="2448661D" w14:textId="77777777" w:rsidR="00EB07AB" w:rsidRPr="004024BD" w:rsidRDefault="00EB07AB" w:rsidP="00FD3D1D">
            <w:pPr>
              <w:spacing w:after="0" w:line="240" w:lineRule="auto"/>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7.0</w:t>
            </w:r>
          </w:p>
        </w:tc>
        <w:tc>
          <w:tcPr>
            <w:tcW w:w="1123" w:type="dxa"/>
            <w:shd w:val="clear" w:color="auto" w:fill="auto"/>
            <w:noWrap/>
            <w:vAlign w:val="center"/>
          </w:tcPr>
          <w:p w14:paraId="088232F7" w14:textId="77777777" w:rsidR="00EB07AB" w:rsidRPr="004024BD" w:rsidRDefault="00EB07AB" w:rsidP="00FD3D1D">
            <w:pPr>
              <w:spacing w:after="0" w:line="240" w:lineRule="auto"/>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6.5</w:t>
            </w:r>
          </w:p>
        </w:tc>
        <w:tc>
          <w:tcPr>
            <w:tcW w:w="1170" w:type="dxa"/>
            <w:shd w:val="clear" w:color="auto" w:fill="auto"/>
            <w:noWrap/>
            <w:vAlign w:val="center"/>
          </w:tcPr>
          <w:p w14:paraId="05E9EBB3" w14:textId="77777777" w:rsidR="00EB07AB" w:rsidRPr="004024BD" w:rsidRDefault="00EB07AB" w:rsidP="00FD3D1D">
            <w:pPr>
              <w:spacing w:after="0" w:line="240" w:lineRule="auto"/>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6.3</w:t>
            </w:r>
          </w:p>
        </w:tc>
      </w:tr>
      <w:tr w:rsidR="00EB07AB" w:rsidRPr="004024BD" w14:paraId="4DC70D5C" w14:textId="77777777" w:rsidTr="00FD3D1D">
        <w:trPr>
          <w:trHeight w:val="164"/>
        </w:trPr>
        <w:tc>
          <w:tcPr>
            <w:tcW w:w="3940" w:type="dxa"/>
            <w:shd w:val="clear" w:color="auto" w:fill="auto"/>
            <w:noWrap/>
            <w:vAlign w:val="center"/>
            <w:hideMark/>
          </w:tcPr>
          <w:p w14:paraId="03C7692F" w14:textId="77777777" w:rsidR="00EB07AB" w:rsidRPr="004024BD" w:rsidRDefault="00EB07AB" w:rsidP="00FD3D1D">
            <w:pPr>
              <w:pStyle w:val="ListParagraph"/>
              <w:numPr>
                <w:ilvl w:val="0"/>
                <w:numId w:val="2"/>
              </w:numPr>
              <w:tabs>
                <w:tab w:val="left" w:pos="255"/>
              </w:tabs>
              <w:spacing w:after="0" w:line="240" w:lineRule="auto"/>
              <w:ind w:left="0" w:firstLine="0"/>
              <w:rPr>
                <w:rFonts w:ascii="Arial" w:eastAsia="Times New Roman" w:hAnsi="Arial" w:cs="Arial"/>
                <w:b/>
                <w:color w:val="000000"/>
                <w:sz w:val="20"/>
                <w:szCs w:val="20"/>
                <w:lang w:val="mn-MN"/>
              </w:rPr>
            </w:pPr>
            <w:r w:rsidRPr="004024BD">
              <w:rPr>
                <w:rFonts w:ascii="Arial" w:eastAsia="Times New Roman" w:hAnsi="Arial" w:cs="Arial"/>
                <w:b/>
                <w:color w:val="000000"/>
                <w:sz w:val="20"/>
                <w:szCs w:val="20"/>
                <w:lang w:val="mn-MN"/>
              </w:rPr>
              <w:t>Ханшийн эрсдэл</w:t>
            </w:r>
          </w:p>
        </w:tc>
        <w:tc>
          <w:tcPr>
            <w:tcW w:w="1010" w:type="dxa"/>
            <w:shd w:val="clear" w:color="auto" w:fill="auto"/>
            <w:noWrap/>
            <w:vAlign w:val="center"/>
            <w:hideMark/>
          </w:tcPr>
          <w:p w14:paraId="141AE61A" w14:textId="77777777" w:rsidR="00EB07AB" w:rsidRPr="004024BD" w:rsidRDefault="00EB07AB" w:rsidP="00FD3D1D">
            <w:pPr>
              <w:spacing w:after="0" w:line="240" w:lineRule="auto"/>
              <w:rPr>
                <w:rFonts w:ascii="Arial" w:eastAsia="Times New Roman" w:hAnsi="Arial" w:cs="Arial"/>
                <w:b/>
                <w:color w:val="000000"/>
                <w:sz w:val="20"/>
                <w:szCs w:val="20"/>
                <w:lang w:val="mn-MN"/>
              </w:rPr>
            </w:pPr>
          </w:p>
        </w:tc>
        <w:tc>
          <w:tcPr>
            <w:tcW w:w="1080" w:type="dxa"/>
            <w:shd w:val="clear" w:color="auto" w:fill="auto"/>
            <w:noWrap/>
            <w:vAlign w:val="center"/>
            <w:hideMark/>
          </w:tcPr>
          <w:p w14:paraId="66FA257F" w14:textId="77777777" w:rsidR="00EB07AB" w:rsidRPr="004024BD" w:rsidRDefault="00EB07AB" w:rsidP="00FD3D1D">
            <w:pPr>
              <w:spacing w:after="0" w:line="240" w:lineRule="auto"/>
              <w:rPr>
                <w:rFonts w:ascii="Arial" w:eastAsia="Times New Roman" w:hAnsi="Arial" w:cs="Arial"/>
                <w:sz w:val="20"/>
                <w:szCs w:val="20"/>
                <w:lang w:val="mn-MN"/>
              </w:rPr>
            </w:pPr>
          </w:p>
        </w:tc>
        <w:tc>
          <w:tcPr>
            <w:tcW w:w="1127" w:type="dxa"/>
            <w:shd w:val="clear" w:color="auto" w:fill="auto"/>
            <w:noWrap/>
            <w:vAlign w:val="center"/>
            <w:hideMark/>
          </w:tcPr>
          <w:p w14:paraId="257D5FDE" w14:textId="77777777" w:rsidR="00EB07AB" w:rsidRPr="004024BD" w:rsidRDefault="00EB07AB" w:rsidP="00FD3D1D">
            <w:pPr>
              <w:spacing w:after="0" w:line="240" w:lineRule="auto"/>
              <w:jc w:val="center"/>
              <w:rPr>
                <w:rFonts w:ascii="Arial" w:eastAsia="Times New Roman" w:hAnsi="Arial" w:cs="Arial"/>
                <w:sz w:val="20"/>
                <w:szCs w:val="20"/>
                <w:lang w:val="mn-MN"/>
              </w:rPr>
            </w:pPr>
          </w:p>
        </w:tc>
        <w:tc>
          <w:tcPr>
            <w:tcW w:w="1123" w:type="dxa"/>
            <w:shd w:val="clear" w:color="auto" w:fill="auto"/>
            <w:noWrap/>
            <w:vAlign w:val="center"/>
            <w:hideMark/>
          </w:tcPr>
          <w:p w14:paraId="55D37C3F" w14:textId="77777777" w:rsidR="00EB07AB" w:rsidRPr="004024BD" w:rsidRDefault="00EB07AB" w:rsidP="00FD3D1D">
            <w:pPr>
              <w:spacing w:after="0" w:line="240" w:lineRule="auto"/>
              <w:jc w:val="center"/>
              <w:rPr>
                <w:rFonts w:ascii="Arial" w:eastAsia="Times New Roman" w:hAnsi="Arial" w:cs="Arial"/>
                <w:sz w:val="20"/>
                <w:szCs w:val="20"/>
                <w:lang w:val="mn-MN"/>
              </w:rPr>
            </w:pPr>
          </w:p>
        </w:tc>
        <w:tc>
          <w:tcPr>
            <w:tcW w:w="1170" w:type="dxa"/>
            <w:shd w:val="clear" w:color="auto" w:fill="auto"/>
            <w:noWrap/>
            <w:vAlign w:val="center"/>
            <w:hideMark/>
          </w:tcPr>
          <w:p w14:paraId="2D526A5C" w14:textId="77777777" w:rsidR="00EB07AB" w:rsidRPr="004024BD" w:rsidRDefault="00EB07AB" w:rsidP="00FD3D1D">
            <w:pPr>
              <w:spacing w:after="0" w:line="240" w:lineRule="auto"/>
              <w:jc w:val="center"/>
              <w:rPr>
                <w:rFonts w:ascii="Arial" w:eastAsia="Times New Roman" w:hAnsi="Arial" w:cs="Arial"/>
                <w:sz w:val="20"/>
                <w:szCs w:val="20"/>
                <w:lang w:val="mn-MN"/>
              </w:rPr>
            </w:pPr>
          </w:p>
        </w:tc>
      </w:tr>
      <w:tr w:rsidR="00EB07AB" w:rsidRPr="004024BD" w14:paraId="15426222" w14:textId="77777777" w:rsidTr="00FD3D1D">
        <w:trPr>
          <w:trHeight w:val="470"/>
        </w:trPr>
        <w:tc>
          <w:tcPr>
            <w:tcW w:w="3940" w:type="dxa"/>
            <w:shd w:val="clear" w:color="auto" w:fill="auto"/>
            <w:noWrap/>
            <w:vAlign w:val="center"/>
            <w:hideMark/>
          </w:tcPr>
          <w:p w14:paraId="68585644" w14:textId="77777777" w:rsidR="00EB07AB" w:rsidRPr="004024BD" w:rsidRDefault="00EB07AB" w:rsidP="00FD3D1D">
            <w:pPr>
              <w:spacing w:after="0" w:line="240" w:lineRule="auto"/>
              <w:ind w:firstLineChars="200" w:firstLine="400"/>
              <w:rPr>
                <w:rFonts w:ascii="Arial" w:eastAsia="Times New Roman" w:hAnsi="Arial" w:cs="Arial"/>
                <w:b/>
                <w:i/>
                <w:color w:val="000000"/>
                <w:sz w:val="20"/>
                <w:szCs w:val="20"/>
                <w:lang w:val="mn-MN"/>
              </w:rPr>
            </w:pPr>
            <w:r w:rsidRPr="004024BD">
              <w:rPr>
                <w:rFonts w:ascii="Arial" w:eastAsia="Times New Roman" w:hAnsi="Arial" w:cs="Arial"/>
                <w:color w:val="000000"/>
                <w:sz w:val="20"/>
                <w:szCs w:val="20"/>
                <w:lang w:val="mn-MN"/>
              </w:rPr>
              <w:t xml:space="preserve">Гадаад валютаар </w:t>
            </w:r>
            <w:r w:rsidRPr="004024BD">
              <w:rPr>
                <w:rFonts w:ascii="Arial" w:hAnsi="Arial" w:cs="Arial"/>
                <w:sz w:val="20"/>
                <w:szCs w:val="20"/>
                <w:lang w:val="mn-MN"/>
              </w:rPr>
              <w:t>илэрхийлэгдсэн</w:t>
            </w:r>
            <w:r w:rsidRPr="004024BD">
              <w:rPr>
                <w:rFonts w:ascii="Arial" w:eastAsia="Times New Roman" w:hAnsi="Arial" w:cs="Arial"/>
                <w:color w:val="000000"/>
                <w:sz w:val="20"/>
                <w:szCs w:val="20"/>
                <w:lang w:val="mn-MN"/>
              </w:rPr>
              <w:t xml:space="preserve"> </w:t>
            </w:r>
            <w:r w:rsidRPr="004024BD">
              <w:rPr>
                <w:rFonts w:ascii="Arial" w:eastAsia="Times New Roman" w:hAnsi="Arial" w:cs="Arial"/>
                <w:b/>
                <w:i/>
                <w:color w:val="000000"/>
                <w:sz w:val="20"/>
                <w:szCs w:val="20"/>
                <w:lang w:val="mn-MN"/>
              </w:rPr>
              <w:t xml:space="preserve"> </w:t>
            </w:r>
          </w:p>
          <w:p w14:paraId="1FF2525C" w14:textId="77777777" w:rsidR="00EB07AB" w:rsidRPr="004024BD" w:rsidRDefault="00EB07AB" w:rsidP="00FD3D1D">
            <w:pPr>
              <w:spacing w:after="0" w:line="240" w:lineRule="auto"/>
              <w:ind w:firstLineChars="200" w:firstLine="400"/>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өр* /нийт өрд эзлэх хувь/</w:t>
            </w:r>
          </w:p>
        </w:tc>
        <w:tc>
          <w:tcPr>
            <w:tcW w:w="1010" w:type="dxa"/>
            <w:shd w:val="clear" w:color="auto" w:fill="auto"/>
            <w:noWrap/>
            <w:vAlign w:val="center"/>
            <w:hideMark/>
          </w:tcPr>
          <w:p w14:paraId="2E4E5D3A" w14:textId="77777777" w:rsidR="00EB07AB" w:rsidRPr="004024BD" w:rsidRDefault="00EB07AB" w:rsidP="00FD3D1D">
            <w:pPr>
              <w:spacing w:after="0" w:line="240" w:lineRule="auto"/>
              <w:jc w:val="center"/>
              <w:rPr>
                <w:rFonts w:ascii="Arial" w:eastAsia="Times New Roman" w:hAnsi="Arial" w:cs="Arial"/>
                <w:b/>
                <w:color w:val="000000"/>
                <w:sz w:val="20"/>
                <w:szCs w:val="20"/>
                <w:lang w:val="mn-MN"/>
              </w:rPr>
            </w:pPr>
            <w:r w:rsidRPr="004024BD">
              <w:rPr>
                <w:rFonts w:ascii="Arial" w:eastAsia="Times New Roman" w:hAnsi="Arial" w:cs="Arial"/>
                <w:b/>
                <w:color w:val="000000"/>
                <w:sz w:val="20"/>
                <w:szCs w:val="20"/>
                <w:lang w:val="mn-MN"/>
              </w:rPr>
              <w:t>78.8</w:t>
            </w:r>
          </w:p>
        </w:tc>
        <w:tc>
          <w:tcPr>
            <w:tcW w:w="1080" w:type="dxa"/>
            <w:shd w:val="clear" w:color="auto" w:fill="auto"/>
            <w:noWrap/>
            <w:vAlign w:val="center"/>
          </w:tcPr>
          <w:p w14:paraId="0F5B50B1" w14:textId="77777777" w:rsidR="00EB07AB" w:rsidRPr="004024BD" w:rsidRDefault="00EB07AB" w:rsidP="00FD3D1D">
            <w:pPr>
              <w:spacing w:after="0" w:line="240" w:lineRule="auto"/>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Дээд</w:t>
            </w:r>
          </w:p>
        </w:tc>
        <w:tc>
          <w:tcPr>
            <w:tcW w:w="1127" w:type="dxa"/>
            <w:shd w:val="clear" w:color="auto" w:fill="auto"/>
            <w:noWrap/>
            <w:vAlign w:val="center"/>
          </w:tcPr>
          <w:p w14:paraId="3D3348E1" w14:textId="77777777" w:rsidR="00EB07AB" w:rsidRPr="004024BD" w:rsidRDefault="00EB07AB" w:rsidP="00FD3D1D">
            <w:pPr>
              <w:spacing w:after="0" w:line="240" w:lineRule="auto"/>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80.0</w:t>
            </w:r>
          </w:p>
        </w:tc>
        <w:tc>
          <w:tcPr>
            <w:tcW w:w="1123" w:type="dxa"/>
            <w:shd w:val="clear" w:color="auto" w:fill="auto"/>
            <w:noWrap/>
            <w:vAlign w:val="center"/>
          </w:tcPr>
          <w:p w14:paraId="737FAA84" w14:textId="77777777" w:rsidR="00EB07AB" w:rsidRPr="004024BD" w:rsidRDefault="00EB07AB" w:rsidP="00FD3D1D">
            <w:pPr>
              <w:spacing w:after="0" w:line="240" w:lineRule="auto"/>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80.0</w:t>
            </w:r>
          </w:p>
        </w:tc>
        <w:tc>
          <w:tcPr>
            <w:tcW w:w="1170" w:type="dxa"/>
            <w:shd w:val="clear" w:color="auto" w:fill="auto"/>
            <w:noWrap/>
            <w:vAlign w:val="center"/>
          </w:tcPr>
          <w:p w14:paraId="03BD6E70" w14:textId="77777777" w:rsidR="00EB07AB" w:rsidRPr="004024BD" w:rsidRDefault="00EB07AB" w:rsidP="00FD3D1D">
            <w:pPr>
              <w:spacing w:after="0" w:line="240" w:lineRule="auto"/>
              <w:jc w:val="center"/>
              <w:rPr>
                <w:rFonts w:ascii="Arial" w:eastAsia="Times New Roman" w:hAnsi="Arial" w:cs="Arial"/>
                <w:color w:val="000000"/>
                <w:sz w:val="20"/>
                <w:szCs w:val="20"/>
                <w:lang w:val="mn-MN"/>
              </w:rPr>
            </w:pPr>
            <w:r w:rsidRPr="004024BD">
              <w:rPr>
                <w:rFonts w:ascii="Arial" w:eastAsia="Times New Roman" w:hAnsi="Arial" w:cs="Arial"/>
                <w:color w:val="000000"/>
                <w:sz w:val="20"/>
                <w:szCs w:val="20"/>
                <w:lang w:val="mn-MN"/>
              </w:rPr>
              <w:t>80.0</w:t>
            </w:r>
          </w:p>
        </w:tc>
      </w:tr>
    </w:tbl>
    <w:p w14:paraId="2EBB629B" w14:textId="77777777" w:rsidR="00EB07AB" w:rsidRPr="004024BD" w:rsidRDefault="00EB07AB" w:rsidP="00EB07AB">
      <w:pPr>
        <w:pStyle w:val="NoSpacing"/>
        <w:spacing w:line="240" w:lineRule="auto"/>
        <w:ind w:left="720"/>
        <w:rPr>
          <w:rFonts w:ascii="Arial" w:hAnsi="Arial" w:cs="Arial"/>
          <w:i/>
        </w:rPr>
      </w:pPr>
    </w:p>
    <w:p w14:paraId="65C2AD3F" w14:textId="77777777" w:rsidR="00EB07AB" w:rsidRPr="004024BD" w:rsidRDefault="00EB07AB" w:rsidP="00EB07AB">
      <w:pPr>
        <w:pStyle w:val="NoSpacing"/>
        <w:spacing w:line="240" w:lineRule="auto"/>
        <w:ind w:left="720"/>
        <w:rPr>
          <w:rFonts w:ascii="Arial" w:hAnsi="Arial" w:cs="Arial"/>
          <w:i/>
        </w:rPr>
      </w:pPr>
      <w:r w:rsidRPr="004024BD">
        <w:rPr>
          <w:rFonts w:ascii="Arial" w:hAnsi="Arial" w:cs="Arial"/>
          <w:i/>
        </w:rPr>
        <w:t>*Гадаад валютаар илэрхийлэгдсэн өрийн эзлэх хувийг тооцохдоо Засгийн газрын өрийн    баталгааны үлдэгдлийг оруулж тооцоогүй болно.</w:t>
      </w:r>
    </w:p>
    <w:p w14:paraId="787D3B06" w14:textId="77777777" w:rsidR="00EB07AB" w:rsidRPr="004024BD" w:rsidRDefault="00EB07AB" w:rsidP="00EB07AB">
      <w:pPr>
        <w:pStyle w:val="NoSpacing"/>
        <w:spacing w:line="240" w:lineRule="auto"/>
        <w:ind w:left="720"/>
        <w:rPr>
          <w:rFonts w:ascii="Arial" w:hAnsi="Arial" w:cs="Arial"/>
          <w:i/>
        </w:rPr>
      </w:pPr>
    </w:p>
    <w:p w14:paraId="774E6005" w14:textId="77777777" w:rsidR="00EB07AB" w:rsidRPr="004024BD" w:rsidRDefault="00EB07AB" w:rsidP="00EB07AB">
      <w:pPr>
        <w:pStyle w:val="NoSpacing"/>
        <w:spacing w:line="240" w:lineRule="auto"/>
        <w:ind w:left="720"/>
        <w:rPr>
          <w:rFonts w:ascii="Arial" w:hAnsi="Arial" w:cs="Arial"/>
          <w:i/>
        </w:rPr>
      </w:pPr>
    </w:p>
    <w:p w14:paraId="2C099568" w14:textId="710F880D" w:rsidR="00EB07AB" w:rsidRPr="00EB07AB" w:rsidRDefault="00EB07AB" w:rsidP="00EB07AB">
      <w:pPr>
        <w:pStyle w:val="NoSpacing"/>
        <w:spacing w:line="240" w:lineRule="auto"/>
        <w:jc w:val="center"/>
        <w:rPr>
          <w:rFonts w:ascii="Arial" w:hAnsi="Arial" w:cs="Arial"/>
        </w:rPr>
      </w:pPr>
      <w:r w:rsidRPr="004024BD">
        <w:rPr>
          <w:rFonts w:ascii="Arial" w:hAnsi="Arial" w:cs="Arial"/>
        </w:rPr>
        <w:t>---oOo---</w:t>
      </w:r>
    </w:p>
    <w:sectPr w:rsidR="00EB07AB" w:rsidRPr="00EB07AB" w:rsidSect="00C0071D">
      <w:footerReference w:type="default" r:id="rId22"/>
      <w:pgSz w:w="11894" w:h="16819" w:code="9"/>
      <w:pgMar w:top="1138" w:right="850" w:bottom="850"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4D1A4" w14:textId="77777777" w:rsidR="009979E4" w:rsidRDefault="009979E4" w:rsidP="00EB07AB">
      <w:pPr>
        <w:spacing w:after="0" w:line="240" w:lineRule="auto"/>
      </w:pPr>
      <w:r>
        <w:separator/>
      </w:r>
    </w:p>
  </w:endnote>
  <w:endnote w:type="continuationSeparator" w:id="0">
    <w:p w14:paraId="5F4D7F09" w14:textId="77777777" w:rsidR="009979E4" w:rsidRDefault="009979E4" w:rsidP="00EB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Mon">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Segoe UI">
    <w:panose1 w:val="020B0502040204020203"/>
    <w:charset w:val="00"/>
    <w:family w:val="swiss"/>
    <w:pitch w:val="variable"/>
    <w:sig w:usb0="E5002E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A63A7" w14:textId="77777777" w:rsidR="00EB07AB" w:rsidRPr="00A85DEF" w:rsidRDefault="00EB07AB">
    <w:pPr>
      <w:pStyle w:val="Footer"/>
      <w:jc w:val="center"/>
      <w:rPr>
        <w:rFonts w:ascii="Arial" w:hAnsi="Arial" w:cs="Arial"/>
        <w:sz w:val="20"/>
        <w:szCs w:val="20"/>
      </w:rPr>
    </w:pPr>
  </w:p>
  <w:p w14:paraId="458DF9E6" w14:textId="77777777" w:rsidR="00EB07AB" w:rsidRDefault="00EB0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840147"/>
      <w:docPartObj>
        <w:docPartGallery w:val="Page Numbers (Bottom of Page)"/>
        <w:docPartUnique/>
      </w:docPartObj>
    </w:sdtPr>
    <w:sdtEndPr>
      <w:rPr>
        <w:noProof/>
      </w:rPr>
    </w:sdtEndPr>
    <w:sdtContent>
      <w:p w14:paraId="36915780" w14:textId="77777777" w:rsidR="00EB07AB" w:rsidRDefault="00EB07AB">
        <w:pPr>
          <w:pStyle w:val="Footer"/>
          <w:jc w:val="center"/>
        </w:pPr>
      </w:p>
    </w:sdtContent>
  </w:sdt>
  <w:p w14:paraId="00D6A225" w14:textId="77777777" w:rsidR="00EB07AB" w:rsidRDefault="00EB0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468EF" w14:textId="77777777" w:rsidR="00EB07AB" w:rsidRPr="009614F4" w:rsidRDefault="00EB07AB">
    <w:pPr>
      <w:pStyle w:val="Footer"/>
      <w:jc w:val="center"/>
      <w:rPr>
        <w:rFonts w:ascii="Times New Roman" w:hAnsi="Times New Roman" w:cs="Times New Roman"/>
      </w:rPr>
    </w:pPr>
  </w:p>
  <w:p w14:paraId="09EA6C86" w14:textId="77777777" w:rsidR="00EB07AB" w:rsidRDefault="00EB07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82B51" w14:textId="77777777" w:rsidR="00782603" w:rsidRPr="009614F4" w:rsidRDefault="009979E4">
    <w:pPr>
      <w:pStyle w:val="Footer"/>
      <w:jc w:val="center"/>
      <w:rPr>
        <w:rFonts w:ascii="Times New Roman" w:hAnsi="Times New Roman" w:cs="Times New Roman"/>
      </w:rPr>
    </w:pPr>
  </w:p>
  <w:p w14:paraId="1D02984C" w14:textId="77777777" w:rsidR="00782603" w:rsidRDefault="009979E4">
    <w:pPr>
      <w:pStyle w:val="Footer"/>
    </w:pPr>
  </w:p>
  <w:p w14:paraId="079960B2" w14:textId="77777777" w:rsidR="00782603" w:rsidRDefault="009979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5A5DA" w14:textId="77777777" w:rsidR="009979E4" w:rsidRDefault="009979E4" w:rsidP="00EB07AB">
      <w:pPr>
        <w:spacing w:after="0" w:line="240" w:lineRule="auto"/>
      </w:pPr>
      <w:r>
        <w:separator/>
      </w:r>
    </w:p>
  </w:footnote>
  <w:footnote w:type="continuationSeparator" w:id="0">
    <w:p w14:paraId="13B7D22F" w14:textId="77777777" w:rsidR="009979E4" w:rsidRDefault="009979E4" w:rsidP="00EB07AB">
      <w:pPr>
        <w:spacing w:after="0" w:line="240" w:lineRule="auto"/>
      </w:pPr>
      <w:r>
        <w:continuationSeparator/>
      </w:r>
    </w:p>
  </w:footnote>
  <w:footnote w:id="1">
    <w:p w14:paraId="68A05EBB" w14:textId="77777777" w:rsidR="00EB07AB" w:rsidRPr="00BD3AA6" w:rsidRDefault="00EB07AB" w:rsidP="00EB07AB">
      <w:pPr>
        <w:pStyle w:val="FootnoteText"/>
        <w:jc w:val="both"/>
        <w:rPr>
          <w:rFonts w:ascii="Arial" w:hAnsi="Arial" w:cs="Arial"/>
          <w:lang w:val="mn-MN"/>
        </w:rPr>
      </w:pPr>
      <w:r w:rsidRPr="00BD3AA6">
        <w:rPr>
          <w:rStyle w:val="FootnoteReference"/>
          <w:rFonts w:ascii="Arial" w:hAnsi="Arial" w:cs="Arial"/>
        </w:rPr>
        <w:footnoteRef/>
      </w:r>
      <w:r>
        <w:rPr>
          <w:rFonts w:ascii="Arial" w:hAnsi="Arial" w:cs="Arial"/>
          <w:sz w:val="18"/>
          <w:lang w:val="mn-MN"/>
        </w:rPr>
        <w:t xml:space="preserve"> </w:t>
      </w:r>
      <w:r w:rsidRPr="00BD3AA6">
        <w:rPr>
          <w:rFonts w:ascii="Arial" w:hAnsi="Arial" w:cs="Arial"/>
          <w:sz w:val="18"/>
          <w:lang w:val="mn-MN"/>
        </w:rPr>
        <w:t xml:space="preserve">Өрийн удирдлагын тухай хуулийн 4.1.4-т “улсын нийт гадаад өр”-ийг </w:t>
      </w:r>
      <w:r>
        <w:rPr>
          <w:rFonts w:ascii="Arial" w:hAnsi="Arial" w:cs="Arial"/>
          <w:sz w:val="18"/>
          <w:lang w:val="mn-MN"/>
        </w:rPr>
        <w:t>“</w:t>
      </w:r>
      <w:r w:rsidRPr="00BD3AA6">
        <w:rPr>
          <w:rFonts w:ascii="Arial" w:hAnsi="Arial" w:cs="Arial"/>
          <w:sz w:val="18"/>
          <w:lang w:val="mn-MN"/>
        </w:rPr>
        <w:t xml:space="preserve">Засгийн газар, орон нутаг, Монголбанк болон Монгол Улсад бүртгэлтэй </w:t>
      </w:r>
      <w:r w:rsidRPr="0086416C">
        <w:rPr>
          <w:rFonts w:ascii="Arial" w:hAnsi="Arial" w:cs="Arial"/>
          <w:color w:val="00000A"/>
          <w:sz w:val="18"/>
          <w:szCs w:val="18"/>
          <w:lang w:val="mn-MN"/>
        </w:rPr>
        <w:t>аж ахуйн нэгжээс Монгол Улсад бүртгэлгүй, байнга оршин суугч</w:t>
      </w:r>
      <w:r w:rsidRPr="002B0F4A">
        <w:rPr>
          <w:rFonts w:ascii="Arial" w:hAnsi="Arial" w:cs="Arial"/>
          <w:color w:val="00000A"/>
          <w:lang w:val="mn-MN"/>
        </w:rPr>
        <w:t xml:space="preserve"> </w:t>
      </w:r>
      <w:r w:rsidRPr="00BD3AA6">
        <w:rPr>
          <w:rFonts w:ascii="Arial" w:hAnsi="Arial" w:cs="Arial"/>
          <w:sz w:val="18"/>
          <w:lang w:val="mn-MN"/>
        </w:rPr>
        <w:t>бус аливаа этгээдэд төлөх төлбөрийн үүрэг</w:t>
      </w:r>
      <w:r>
        <w:rPr>
          <w:rFonts w:ascii="Arial" w:hAnsi="Arial" w:cs="Arial"/>
          <w:sz w:val="18"/>
          <w:lang w:val="mn-MN"/>
        </w:rPr>
        <w:t>”</w:t>
      </w:r>
      <w:r w:rsidRPr="00BD3AA6">
        <w:rPr>
          <w:rFonts w:ascii="Arial" w:hAnsi="Arial" w:cs="Arial"/>
          <w:sz w:val="18"/>
          <w:lang w:val="mn-MN"/>
        </w:rPr>
        <w:t xml:space="preserve"> гэж тодорхойлж өгсөн. Тус статистикийг О</w:t>
      </w:r>
      <w:r>
        <w:rPr>
          <w:rFonts w:ascii="Arial" w:hAnsi="Arial" w:cs="Arial"/>
          <w:sz w:val="18"/>
          <w:lang w:val="mn-MN"/>
        </w:rPr>
        <w:t xml:space="preserve">лон улсын валютын сан </w:t>
      </w:r>
      <w:r w:rsidRPr="00436E42">
        <w:rPr>
          <w:rFonts w:ascii="Arial" w:hAnsi="Arial" w:cs="Arial"/>
          <w:sz w:val="18"/>
          <w:lang w:val="mn-MN"/>
        </w:rPr>
        <w:t>/</w:t>
      </w:r>
      <w:r w:rsidRPr="00BD3AA6">
        <w:rPr>
          <w:rFonts w:ascii="Arial" w:hAnsi="Arial" w:cs="Arial"/>
          <w:sz w:val="18"/>
          <w:lang w:val="mn-MN"/>
        </w:rPr>
        <w:t>ОУВС</w:t>
      </w:r>
      <w:r w:rsidRPr="00436E42">
        <w:rPr>
          <w:rFonts w:ascii="Arial" w:hAnsi="Arial" w:cs="Arial"/>
          <w:sz w:val="18"/>
          <w:lang w:val="mn-MN"/>
        </w:rPr>
        <w:t>/</w:t>
      </w:r>
      <w:r w:rsidRPr="00BD3AA6">
        <w:rPr>
          <w:rFonts w:ascii="Arial" w:hAnsi="Arial" w:cs="Arial"/>
          <w:sz w:val="18"/>
          <w:lang w:val="mn-MN"/>
        </w:rPr>
        <w:t xml:space="preserve">-ийн </w:t>
      </w:r>
      <w:r>
        <w:rPr>
          <w:rFonts w:ascii="Arial" w:hAnsi="Arial" w:cs="Arial"/>
          <w:sz w:val="18"/>
          <w:lang w:val="mn-MN"/>
        </w:rPr>
        <w:t>“</w:t>
      </w:r>
      <w:r w:rsidRPr="00BD3AA6">
        <w:rPr>
          <w:rFonts w:ascii="Arial" w:hAnsi="Arial" w:cs="Arial"/>
          <w:sz w:val="18"/>
          <w:lang w:val="mn-MN"/>
        </w:rPr>
        <w:t xml:space="preserve">Гадаад секторын статистик боловсруулах 6 дугаар </w:t>
      </w:r>
      <w:r>
        <w:rPr>
          <w:rFonts w:ascii="Arial" w:hAnsi="Arial" w:cs="Arial"/>
          <w:sz w:val="18"/>
          <w:lang w:val="mn-MN"/>
        </w:rPr>
        <w:t>гарын авлага</w:t>
      </w:r>
      <w:r w:rsidRPr="00BD3AA6">
        <w:rPr>
          <w:rFonts w:ascii="Arial" w:hAnsi="Arial" w:cs="Arial"/>
          <w:sz w:val="18"/>
          <w:lang w:val="mn-MN"/>
        </w:rPr>
        <w:t>"-ын хүрээнд Монголбанк нь Сангийн яамтай хамтран Мэдээлэл тархаах ерөнхий системийн шаардлагын дагуу боловсруулж, олон нийтэд мэдээлж байна</w:t>
      </w:r>
      <w:r>
        <w:rPr>
          <w:rFonts w:ascii="Arial" w:hAnsi="Arial" w:cs="Arial"/>
          <w:sz w:val="18"/>
          <w:lang w:val="mn-MN"/>
        </w:rPr>
        <w:t>.</w:t>
      </w:r>
    </w:p>
  </w:footnote>
  <w:footnote w:id="2">
    <w:p w14:paraId="6B5F138F" w14:textId="77777777" w:rsidR="00EB07AB" w:rsidRPr="00D076BC" w:rsidRDefault="00EB07AB" w:rsidP="00EB07AB">
      <w:pPr>
        <w:jc w:val="both"/>
        <w:rPr>
          <w:rFonts w:ascii="Arial" w:hAnsi="Arial" w:cs="Arial"/>
          <w:sz w:val="18"/>
          <w:szCs w:val="18"/>
          <w:lang w:val="mn-MN"/>
        </w:rPr>
      </w:pPr>
      <w:r w:rsidRPr="00BD3AA6">
        <w:rPr>
          <w:rStyle w:val="FootnoteReference"/>
          <w:rFonts w:ascii="Arial" w:hAnsi="Arial" w:cs="Arial"/>
          <w:sz w:val="16"/>
          <w:szCs w:val="16"/>
        </w:rPr>
        <w:footnoteRef/>
      </w:r>
      <w:r>
        <w:rPr>
          <w:rFonts w:ascii="Arial" w:hAnsi="Arial" w:cs="Arial"/>
          <w:sz w:val="16"/>
          <w:szCs w:val="16"/>
          <w:lang w:val="mn-MN"/>
        </w:rPr>
        <w:t xml:space="preserve"> </w:t>
      </w:r>
      <w:r w:rsidRPr="00D076BC">
        <w:rPr>
          <w:rFonts w:ascii="Arial" w:hAnsi="Arial" w:cs="Arial"/>
          <w:sz w:val="18"/>
          <w:szCs w:val="18"/>
          <w:lang w:val="mn-MN"/>
        </w:rPr>
        <w:t>Төсвийн тогтвортой байдлын тухай хуулийн 4.1.8-д “Засгийн газрын өр гэж өрийн хэрэгслээр үүсгэж, Монгол Улсын Засгийн газар, аймаг, нийслэлээс бусдын өмнө хүлээсэн төлбөрийн үүргийг, хууль болон гэрээнд заасны дагуу гаргасан Засгийн газрын өрийн баталгааны дүн” гэж заасан. Төсвийн тогтвортой байдлын тухай хуулийн 19.3-т “</w:t>
      </w:r>
      <w:r w:rsidRPr="00D076BC">
        <w:rPr>
          <w:rFonts w:ascii="Arial" w:hAnsi="Arial" w:cs="Arial"/>
          <w:color w:val="000000"/>
          <w:sz w:val="18"/>
          <w:szCs w:val="18"/>
          <w:lang w:val="mn-MN"/>
        </w:rPr>
        <w:t>Засгийн газрын өрийн үлдэгдлийн дотоодын нийт бүтээгдэхүүнд эзлэх хувь хэмжээг</w:t>
      </w:r>
      <w:r w:rsidRPr="00D076BC">
        <w:rPr>
          <w:rFonts w:ascii="Arial" w:hAnsi="Arial" w:cs="Arial"/>
          <w:sz w:val="18"/>
          <w:szCs w:val="18"/>
          <w:lang w:val="mn-MN"/>
        </w:rPr>
        <w:t xml:space="preserve"> 2015 оны төсвийн жилд 58.3 хувиас, 2016 оны төсвийн жилд 88 хувиас, 2017 оны төсвийн жилд 85 хувиас, 2018 оны төсвийн жилд 80 хувиас, 2019 оны төсвийн жилд 75 хувиас, 2020 оны төсвийн жилд 70 хувиас, 2021 болон 2022 оны төсвийн жилд 70 хувиас, 2023 оны төсвийн жилд 65 хувиас, 2024 оны төсвийн жилээс эхлэн 60 хувиас тус тус хэтрүүлэхгүй байна</w:t>
      </w:r>
      <w:r w:rsidRPr="00D076BC">
        <w:rPr>
          <w:rFonts w:ascii="Arial" w:hAnsi="Arial" w:cs="Arial"/>
          <w:b/>
          <w:sz w:val="18"/>
          <w:szCs w:val="18"/>
          <w:lang w:val="mn-MN"/>
        </w:rPr>
        <w:t>.</w:t>
      </w:r>
      <w:r w:rsidRPr="00D076BC">
        <w:rPr>
          <w:rFonts w:ascii="Arial" w:hAnsi="Arial" w:cs="Arial"/>
          <w:sz w:val="18"/>
          <w:szCs w:val="18"/>
          <w:lang w:val="mn-MN"/>
        </w:rPr>
        <w:t>” гэж заасан.</w:t>
      </w:r>
    </w:p>
  </w:footnote>
  <w:footnote w:id="3">
    <w:p w14:paraId="397E36CE" w14:textId="77777777" w:rsidR="00EB07AB" w:rsidRPr="00A76366" w:rsidRDefault="00EB07AB" w:rsidP="00EB07AB">
      <w:pPr>
        <w:pStyle w:val="FootnoteText"/>
        <w:rPr>
          <w:sz w:val="18"/>
          <w:szCs w:val="18"/>
          <w:lang w:val="mn-MN"/>
        </w:rPr>
      </w:pPr>
      <w:r>
        <w:rPr>
          <w:rStyle w:val="FootnoteReference"/>
        </w:rPr>
        <w:footnoteRef/>
      </w:r>
      <w:r>
        <w:t xml:space="preserve"> </w:t>
      </w:r>
      <w:r w:rsidRPr="00A76366">
        <w:rPr>
          <w:rFonts w:ascii="Arial" w:hAnsi="Arial" w:cs="Arial"/>
          <w:sz w:val="18"/>
          <w:szCs w:val="18"/>
          <w:lang w:val="mn-MN"/>
        </w:rPr>
        <w:t>Америкийн Нэгдсэн Улс</w:t>
      </w:r>
    </w:p>
  </w:footnote>
  <w:footnote w:id="4">
    <w:p w14:paraId="3A095F5E" w14:textId="77777777" w:rsidR="00EB07AB" w:rsidRPr="0022549F" w:rsidRDefault="00EB07AB" w:rsidP="00EB07AB">
      <w:pPr>
        <w:pStyle w:val="FootnoteText"/>
        <w:rPr>
          <w:rFonts w:ascii="Arial" w:hAnsi="Arial" w:cs="Arial"/>
          <w:sz w:val="18"/>
          <w:szCs w:val="18"/>
        </w:rPr>
      </w:pPr>
      <w:r w:rsidRPr="003A71EE">
        <w:rPr>
          <w:rStyle w:val="FootnoteReference"/>
          <w:rFonts w:ascii="Arial" w:hAnsi="Arial" w:cs="Arial"/>
        </w:rPr>
        <w:footnoteRef/>
      </w:r>
      <w:r w:rsidRPr="003A71EE">
        <w:rPr>
          <w:rFonts w:ascii="Arial" w:hAnsi="Arial" w:cs="Arial"/>
        </w:rPr>
        <w:t xml:space="preserve"> </w:t>
      </w:r>
      <w:r w:rsidRPr="0022549F">
        <w:rPr>
          <w:rFonts w:ascii="Arial" w:hAnsi="Arial" w:cs="Arial"/>
          <w:sz w:val="18"/>
          <w:szCs w:val="18"/>
        </w:rPr>
        <w:t>Japan Bank for International Cooperation</w:t>
      </w:r>
    </w:p>
  </w:footnote>
  <w:footnote w:id="5">
    <w:p w14:paraId="149C6D85" w14:textId="77777777" w:rsidR="00EB07AB" w:rsidRPr="003A71EE" w:rsidRDefault="00EB07AB" w:rsidP="00EB07AB">
      <w:pPr>
        <w:pStyle w:val="FootnoteText"/>
        <w:rPr>
          <w:rFonts w:ascii="Arial" w:hAnsi="Arial" w:cs="Arial"/>
          <w:lang w:val="mn-MN"/>
        </w:rPr>
      </w:pPr>
      <w:r w:rsidRPr="003A71EE">
        <w:rPr>
          <w:rStyle w:val="FootnoteReference"/>
          <w:rFonts w:ascii="Arial" w:hAnsi="Arial" w:cs="Arial"/>
        </w:rPr>
        <w:footnoteRef/>
      </w:r>
      <w:r w:rsidRPr="003A71EE">
        <w:rPr>
          <w:rFonts w:ascii="Arial" w:hAnsi="Arial" w:cs="Arial"/>
        </w:rPr>
        <w:t xml:space="preserve"> </w:t>
      </w:r>
      <w:r w:rsidRPr="007C7ADD">
        <w:rPr>
          <w:rFonts w:ascii="Arial" w:hAnsi="Arial" w:cs="Arial"/>
          <w:sz w:val="18"/>
          <w:szCs w:val="18"/>
        </w:rPr>
        <w:t>Өрийн жигнэсэн дундаж хүү нь тайлант үеийн эцсийн өрийн үлдэгдэл болон тухайн зээлийн хүүгийн үржвэрийн нийлбэрийн нийт өрийн үлдэгдэлд харьцуулсан харьцаа юм.</w:t>
      </w:r>
    </w:p>
  </w:footnote>
  <w:footnote w:id="6">
    <w:p w14:paraId="50224F06" w14:textId="77777777" w:rsidR="00EB07AB" w:rsidRPr="000802B0" w:rsidRDefault="00EB07AB" w:rsidP="00EB07AB">
      <w:pPr>
        <w:pStyle w:val="FootnoteText"/>
        <w:rPr>
          <w:sz w:val="18"/>
          <w:szCs w:val="18"/>
          <w:lang w:val="mn-MN"/>
        </w:rPr>
      </w:pPr>
      <w:r w:rsidRPr="003A71EE">
        <w:rPr>
          <w:rStyle w:val="FootnoteReference"/>
          <w:rFonts w:ascii="Arial" w:hAnsi="Arial" w:cs="Arial"/>
        </w:rPr>
        <w:footnoteRef/>
      </w:r>
      <w:r w:rsidRPr="00436E42">
        <w:rPr>
          <w:rFonts w:ascii="Arial" w:hAnsi="Arial" w:cs="Arial"/>
          <w:lang w:val="mn-MN"/>
        </w:rPr>
        <w:t xml:space="preserve"> </w:t>
      </w:r>
      <w:r w:rsidRPr="000802B0">
        <w:rPr>
          <w:rFonts w:ascii="Arial" w:hAnsi="Arial" w:cs="Arial"/>
          <w:sz w:val="18"/>
          <w:szCs w:val="18"/>
          <w:lang w:val="mn-MN"/>
        </w:rPr>
        <w:t>Эргэн төлөгдөх дундаж хугацаа нь тухайн өрийн үлдэгдэл дунджаар хэдэн жилийн дотор төлөгдөж дуусахыг тооцоолдог үзүүлэлт ба үүнийг зээллэгийн үлдсэн хугацааг тухайн зээллэгийн үлдэгдлээр үржин нийт өрийн үлдэгдэлд харьцуулж олно.</w:t>
      </w:r>
    </w:p>
  </w:footnote>
  <w:footnote w:id="7">
    <w:p w14:paraId="4F3E6C80" w14:textId="77777777" w:rsidR="00EB07AB" w:rsidRPr="0015707B" w:rsidRDefault="00EB07AB" w:rsidP="00EB07AB">
      <w:pPr>
        <w:pStyle w:val="FootnoteText"/>
        <w:rPr>
          <w:rFonts w:ascii="Arial" w:hAnsi="Arial" w:cs="Arial"/>
          <w:sz w:val="18"/>
          <w:szCs w:val="18"/>
          <w:lang w:val="mn-MN"/>
        </w:rPr>
      </w:pPr>
      <w:r>
        <w:rPr>
          <w:rStyle w:val="FootnoteReference"/>
        </w:rPr>
        <w:footnoteRef/>
      </w:r>
      <w:r w:rsidRPr="00436E42">
        <w:rPr>
          <w:lang w:val="mn-MN"/>
        </w:rPr>
        <w:t xml:space="preserve"> </w:t>
      </w:r>
      <w:r w:rsidRPr="0015707B">
        <w:rPr>
          <w:rFonts w:ascii="Arial" w:hAnsi="Arial" w:cs="Arial"/>
          <w:sz w:val="18"/>
          <w:szCs w:val="18"/>
          <w:lang w:val="mn-MN"/>
        </w:rPr>
        <w:t>Fixed буюу тогтмол</w:t>
      </w:r>
    </w:p>
  </w:footnote>
  <w:footnote w:id="8">
    <w:p w14:paraId="28D543BE" w14:textId="77777777" w:rsidR="00EB07AB" w:rsidRPr="0015707B" w:rsidRDefault="00EB07AB" w:rsidP="00EB07AB">
      <w:pPr>
        <w:pStyle w:val="FootnoteText"/>
        <w:rPr>
          <w:rFonts w:ascii="Arial" w:hAnsi="Arial" w:cs="Arial"/>
          <w:sz w:val="18"/>
          <w:szCs w:val="18"/>
          <w:lang w:val="mn-MN"/>
        </w:rPr>
      </w:pPr>
      <w:r w:rsidRPr="003A71EE">
        <w:rPr>
          <w:rStyle w:val="FootnoteReference"/>
          <w:rFonts w:ascii="Arial" w:hAnsi="Arial" w:cs="Arial"/>
        </w:rPr>
        <w:footnoteRef/>
      </w:r>
      <w:r w:rsidRPr="00436E42">
        <w:rPr>
          <w:rFonts w:ascii="Arial" w:hAnsi="Arial" w:cs="Arial"/>
          <w:lang w:val="mn-MN"/>
        </w:rPr>
        <w:t xml:space="preserve"> </w:t>
      </w:r>
      <w:r w:rsidRPr="0015707B">
        <w:rPr>
          <w:rFonts w:ascii="Arial" w:hAnsi="Arial" w:cs="Arial"/>
          <w:sz w:val="18"/>
          <w:szCs w:val="18"/>
          <w:lang w:val="mn-MN"/>
        </w:rPr>
        <w:t>Variable буюу хувьсах</w:t>
      </w:r>
    </w:p>
  </w:footnote>
  <w:footnote w:id="9">
    <w:p w14:paraId="18949051" w14:textId="77777777" w:rsidR="00EB07AB" w:rsidRPr="0015707B" w:rsidRDefault="00EB07AB" w:rsidP="00EB07AB">
      <w:pPr>
        <w:pStyle w:val="FootnoteText"/>
        <w:rPr>
          <w:sz w:val="18"/>
          <w:szCs w:val="18"/>
          <w:lang w:val="mn-MN"/>
        </w:rPr>
      </w:pPr>
      <w:r w:rsidRPr="003A71EE">
        <w:rPr>
          <w:rStyle w:val="FootnoteReference"/>
          <w:rFonts w:ascii="Arial" w:hAnsi="Arial" w:cs="Arial"/>
        </w:rPr>
        <w:footnoteRef/>
      </w:r>
      <w:r w:rsidRPr="00436E42">
        <w:rPr>
          <w:rFonts w:ascii="Arial" w:hAnsi="Arial" w:cs="Arial"/>
          <w:lang w:val="mn-MN"/>
        </w:rPr>
        <w:t xml:space="preserve"> </w:t>
      </w:r>
      <w:r w:rsidRPr="0015707B">
        <w:rPr>
          <w:rFonts w:ascii="Arial" w:hAnsi="Arial" w:cs="Arial"/>
          <w:sz w:val="18"/>
          <w:szCs w:val="18"/>
          <w:lang w:val="mn-MN"/>
        </w:rPr>
        <w:t>Хөдөө аж ахуйг хөгжүүлэх олон улсын сан /IFAD/</w:t>
      </w:r>
    </w:p>
  </w:footnote>
  <w:footnote w:id="10">
    <w:p w14:paraId="1671210F" w14:textId="77777777" w:rsidR="00EB07AB" w:rsidRPr="005B5844" w:rsidRDefault="00EB07AB" w:rsidP="00EB07AB">
      <w:pPr>
        <w:pStyle w:val="FootnoteText"/>
        <w:jc w:val="both"/>
        <w:rPr>
          <w:rFonts w:ascii="Arial" w:hAnsi="Arial" w:cs="Arial"/>
          <w:sz w:val="18"/>
          <w:szCs w:val="18"/>
        </w:rPr>
      </w:pPr>
      <w:r>
        <w:rPr>
          <w:rStyle w:val="FootnoteReference"/>
        </w:rPr>
        <w:footnoteRef/>
      </w:r>
      <w:r>
        <w:t xml:space="preserve"> </w:t>
      </w:r>
      <w:r w:rsidRPr="008969CE">
        <w:rPr>
          <w:rFonts w:ascii="Arial" w:hAnsi="Arial" w:cs="Arial"/>
          <w:sz w:val="18"/>
          <w:szCs w:val="18"/>
          <w:lang w:val="mn-MN"/>
        </w:rPr>
        <w:t>Өрийн удирдлагын тухай хуулийн 7.1.6-д “</w:t>
      </w:r>
      <w:r w:rsidRPr="00436E42">
        <w:rPr>
          <w:rFonts w:ascii="Arial" w:hAnsi="Arial" w:cs="Arial"/>
          <w:sz w:val="18"/>
          <w:szCs w:val="18"/>
          <w:lang w:val="mn-MN"/>
        </w:rPr>
        <w:t>нийгмийн үр өгөөжтэй, улсын төсөвт эргэн төлөгдөх чадваргүй төсөл, арга хэмжээг зээллэгийн хөрөнгөөр эргэн төлөгдөх нөхцөлгүйгээр санхүүжүүлэх эсэхийг тухайн жилийн төсвийн хуулиар, шаардлагатай тохиолдолд тухай бүр шийдвэрлэх</w:t>
      </w:r>
      <w:r w:rsidRPr="008969CE">
        <w:rPr>
          <w:rFonts w:ascii="Arial" w:hAnsi="Arial" w:cs="Arial"/>
          <w:sz w:val="18"/>
          <w:szCs w:val="18"/>
          <w:lang w:val="mn-MN"/>
        </w:rPr>
        <w:t>” гэж заасан</w:t>
      </w:r>
      <w:r>
        <w:rPr>
          <w:rFonts w:ascii="Arial" w:hAnsi="Arial" w:cs="Arial"/>
          <w:sz w:val="18"/>
          <w:szCs w:val="18"/>
          <w:lang w:val="mn-MN"/>
        </w:rPr>
        <w:t>.</w:t>
      </w:r>
    </w:p>
    <w:p w14:paraId="0D0E07AE" w14:textId="77777777" w:rsidR="00EB07AB" w:rsidRDefault="00EB07AB" w:rsidP="00EB07AB">
      <w:pPr>
        <w:pStyle w:val="FootnoteText"/>
      </w:pPr>
    </w:p>
  </w:footnote>
  <w:footnote w:id="11">
    <w:p w14:paraId="6E495FC5" w14:textId="77777777" w:rsidR="00EB07AB" w:rsidRPr="007A671C" w:rsidRDefault="00EB07AB" w:rsidP="00EB07AB">
      <w:pPr>
        <w:pStyle w:val="EndnoteText"/>
        <w:rPr>
          <w:rFonts w:ascii="Arial" w:hAnsi="Arial" w:cs="Arial"/>
          <w:sz w:val="18"/>
          <w:szCs w:val="18"/>
        </w:rPr>
      </w:pPr>
      <w:r>
        <w:rPr>
          <w:rStyle w:val="FootnoteReference"/>
        </w:rPr>
        <w:footnoteRef/>
      </w:r>
      <w:r>
        <w:t xml:space="preserve"> </w:t>
      </w:r>
      <w:r w:rsidRPr="007A671C">
        <w:rPr>
          <w:rFonts w:ascii="Arial" w:hAnsi="Arial" w:cs="Arial"/>
          <w:sz w:val="18"/>
          <w:szCs w:val="18"/>
        </w:rPr>
        <w:t>Medium-term debt management strategy</w:t>
      </w:r>
    </w:p>
    <w:p w14:paraId="0FEC064D" w14:textId="77777777" w:rsidR="00EB07AB" w:rsidRPr="007A671C" w:rsidRDefault="00EB07AB" w:rsidP="00EB07AB">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EBA0A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345CB"/>
    <w:multiLevelType w:val="hybridMultilevel"/>
    <w:tmpl w:val="696C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4099E"/>
    <w:multiLevelType w:val="multilevel"/>
    <w:tmpl w:val="38A6B3B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F627EC"/>
    <w:multiLevelType w:val="hybridMultilevel"/>
    <w:tmpl w:val="D2CC807C"/>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4" w15:restartNumberingAfterBreak="0">
    <w:nsid w:val="1F204E99"/>
    <w:multiLevelType w:val="hybridMultilevel"/>
    <w:tmpl w:val="DEEC9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97660"/>
    <w:multiLevelType w:val="hybridMultilevel"/>
    <w:tmpl w:val="5A02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D1EBD"/>
    <w:multiLevelType w:val="multilevel"/>
    <w:tmpl w:val="BDF2A5C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E8A1D53"/>
    <w:multiLevelType w:val="hybridMultilevel"/>
    <w:tmpl w:val="553C4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684F76"/>
    <w:multiLevelType w:val="hybridMultilevel"/>
    <w:tmpl w:val="2F3C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F438F"/>
    <w:multiLevelType w:val="hybridMultilevel"/>
    <w:tmpl w:val="64F0DE04"/>
    <w:lvl w:ilvl="0" w:tplc="A2B69D1A">
      <w:start w:val="1"/>
      <w:numFmt w:val="decimal"/>
      <w:pStyle w:val="Heading2"/>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4206E"/>
    <w:multiLevelType w:val="multilevel"/>
    <w:tmpl w:val="323C73C6"/>
    <w:lvl w:ilvl="0">
      <w:start w:val="1"/>
      <w:numFmt w:val="decimal"/>
      <w:lvlText w:val="%1."/>
      <w:lvlJc w:val="left"/>
      <w:pPr>
        <w:ind w:left="720" w:hanging="360"/>
      </w:pPr>
      <w:rPr>
        <w:rFonts w:hint="default"/>
        <w:b/>
        <w:u w:val="none"/>
      </w:rPr>
    </w:lvl>
    <w:lvl w:ilvl="1">
      <w:start w:val="2"/>
      <w:numFmt w:val="decimal"/>
      <w:isLgl/>
      <w:lvlText w:val="%1.%2."/>
      <w:lvlJc w:val="left"/>
      <w:pPr>
        <w:ind w:left="1260" w:hanging="72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15:restartNumberingAfterBreak="0">
    <w:nsid w:val="5C417A0F"/>
    <w:multiLevelType w:val="multilevel"/>
    <w:tmpl w:val="26E813D4"/>
    <w:styleLink w:val="Style2"/>
    <w:lvl w:ilvl="0">
      <w:start w:val="1"/>
      <w:numFmt w:val="decimal"/>
      <w:lvlText w:val="%1."/>
      <w:lvlJc w:val="left"/>
      <w:pPr>
        <w:ind w:left="1170" w:hanging="360"/>
      </w:pPr>
      <w:rPr>
        <w:rFonts w:hint="default"/>
        <w:sz w:val="36"/>
        <w:szCs w:val="36"/>
      </w:rPr>
    </w:lvl>
    <w:lvl w:ilvl="1">
      <w:start w:val="1"/>
      <w:numFmt w:val="decimal"/>
      <w:lvlText w:val="%1.%2."/>
      <w:lvlJc w:val="left"/>
      <w:pPr>
        <w:ind w:left="1530" w:hanging="720"/>
      </w:pPr>
      <w:rPr>
        <w:sz w:val="24"/>
        <w:szCs w:val="24"/>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610" w:hanging="1800"/>
      </w:pPr>
      <w:rPr>
        <w:rFonts w:hint="default"/>
      </w:rPr>
    </w:lvl>
  </w:abstractNum>
  <w:abstractNum w:abstractNumId="12" w15:restartNumberingAfterBreak="0">
    <w:nsid w:val="62EF2C5F"/>
    <w:multiLevelType w:val="multilevel"/>
    <w:tmpl w:val="C42E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83591D"/>
    <w:multiLevelType w:val="multilevel"/>
    <w:tmpl w:val="FBFA2814"/>
    <w:lvl w:ilvl="0">
      <w:start w:val="2023"/>
      <w:numFmt w:val="decimal"/>
      <w:lvlText w:val="%1"/>
      <w:lvlJc w:val="left"/>
      <w:pPr>
        <w:ind w:left="1200" w:hanging="1200"/>
      </w:pPr>
      <w:rPr>
        <w:rFonts w:hint="default"/>
      </w:rPr>
    </w:lvl>
    <w:lvl w:ilvl="1">
      <w:start w:val="2025"/>
      <w:numFmt w:val="decimal"/>
      <w:lvlText w:val="%1-%2"/>
      <w:lvlJc w:val="left"/>
      <w:pPr>
        <w:ind w:left="1200" w:hanging="1200"/>
      </w:pPr>
      <w:rPr>
        <w:rFonts w:hint="default"/>
      </w:rPr>
    </w:lvl>
    <w:lvl w:ilvl="2">
      <w:start w:val="1"/>
      <w:numFmt w:val="decimal"/>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0D2AD6"/>
    <w:multiLevelType w:val="hybridMultilevel"/>
    <w:tmpl w:val="2678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F0963"/>
    <w:multiLevelType w:val="multilevel"/>
    <w:tmpl w:val="77C8AF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11"/>
  </w:num>
  <w:num w:numId="4">
    <w:abstractNumId w:val="0"/>
  </w:num>
  <w:num w:numId="5">
    <w:abstractNumId w:val="8"/>
  </w:num>
  <w:num w:numId="6">
    <w:abstractNumId w:val="9"/>
    <w:lvlOverride w:ilvl="0">
      <w:startOverride w:val="1"/>
    </w:lvlOverride>
  </w:num>
  <w:num w:numId="7">
    <w:abstractNumId w:val="1"/>
  </w:num>
  <w:num w:numId="8">
    <w:abstractNumId w:val="12"/>
  </w:num>
  <w:num w:numId="9">
    <w:abstractNumId w:val="5"/>
  </w:num>
  <w:num w:numId="10">
    <w:abstractNumId w:val="14"/>
  </w:num>
  <w:num w:numId="11">
    <w:abstractNumId w:val="7"/>
  </w:num>
  <w:num w:numId="12">
    <w:abstractNumId w:val="10"/>
  </w:num>
  <w:num w:numId="13">
    <w:abstractNumId w:val="2"/>
  </w:num>
  <w:num w:numId="14">
    <w:abstractNumId w:val="6"/>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A7"/>
    <w:rsid w:val="00005849"/>
    <w:rsid w:val="00015A55"/>
    <w:rsid w:val="00023585"/>
    <w:rsid w:val="00025160"/>
    <w:rsid w:val="00041971"/>
    <w:rsid w:val="0007303E"/>
    <w:rsid w:val="0007587B"/>
    <w:rsid w:val="00081118"/>
    <w:rsid w:val="00092528"/>
    <w:rsid w:val="000B3903"/>
    <w:rsid w:val="000C006C"/>
    <w:rsid w:val="000D4AD5"/>
    <w:rsid w:val="000D63DE"/>
    <w:rsid w:val="000E2B2B"/>
    <w:rsid w:val="000F1A5D"/>
    <w:rsid w:val="000F3467"/>
    <w:rsid w:val="00107168"/>
    <w:rsid w:val="00116E7B"/>
    <w:rsid w:val="00127B4C"/>
    <w:rsid w:val="00137653"/>
    <w:rsid w:val="001421DA"/>
    <w:rsid w:val="00172B68"/>
    <w:rsid w:val="00182AFC"/>
    <w:rsid w:val="0018481F"/>
    <w:rsid w:val="00192831"/>
    <w:rsid w:val="00192B35"/>
    <w:rsid w:val="001A6ECA"/>
    <w:rsid w:val="001C5303"/>
    <w:rsid w:val="001F200E"/>
    <w:rsid w:val="00205C47"/>
    <w:rsid w:val="00211BBF"/>
    <w:rsid w:val="00233542"/>
    <w:rsid w:val="00234D7B"/>
    <w:rsid w:val="002415DC"/>
    <w:rsid w:val="00250B12"/>
    <w:rsid w:val="00256BA1"/>
    <w:rsid w:val="00272277"/>
    <w:rsid w:val="00276988"/>
    <w:rsid w:val="002811CE"/>
    <w:rsid w:val="002825BF"/>
    <w:rsid w:val="002A55F6"/>
    <w:rsid w:val="002C4324"/>
    <w:rsid w:val="002C74EB"/>
    <w:rsid w:val="002D66BE"/>
    <w:rsid w:val="002E34DE"/>
    <w:rsid w:val="002F2ED8"/>
    <w:rsid w:val="002F6A50"/>
    <w:rsid w:val="002F7ABE"/>
    <w:rsid w:val="003006CD"/>
    <w:rsid w:val="00300B52"/>
    <w:rsid w:val="00305C21"/>
    <w:rsid w:val="00327317"/>
    <w:rsid w:val="00347BA8"/>
    <w:rsid w:val="003570B8"/>
    <w:rsid w:val="003578D0"/>
    <w:rsid w:val="00357D1D"/>
    <w:rsid w:val="0036293A"/>
    <w:rsid w:val="00364C4C"/>
    <w:rsid w:val="003727ED"/>
    <w:rsid w:val="003B4346"/>
    <w:rsid w:val="003B58BF"/>
    <w:rsid w:val="003B70BF"/>
    <w:rsid w:val="003C10BE"/>
    <w:rsid w:val="003C7C22"/>
    <w:rsid w:val="003D4BEC"/>
    <w:rsid w:val="003D6C05"/>
    <w:rsid w:val="003F15FD"/>
    <w:rsid w:val="003F16CE"/>
    <w:rsid w:val="003F526A"/>
    <w:rsid w:val="004102EA"/>
    <w:rsid w:val="004160D1"/>
    <w:rsid w:val="00416430"/>
    <w:rsid w:val="00421E73"/>
    <w:rsid w:val="00422BC5"/>
    <w:rsid w:val="004279E8"/>
    <w:rsid w:val="00430155"/>
    <w:rsid w:val="004477F2"/>
    <w:rsid w:val="00451E5C"/>
    <w:rsid w:val="004643D6"/>
    <w:rsid w:val="00467350"/>
    <w:rsid w:val="0046758A"/>
    <w:rsid w:val="00471593"/>
    <w:rsid w:val="00474C85"/>
    <w:rsid w:val="00481E1C"/>
    <w:rsid w:val="004857FC"/>
    <w:rsid w:val="00491845"/>
    <w:rsid w:val="004924AD"/>
    <w:rsid w:val="00494267"/>
    <w:rsid w:val="004949A7"/>
    <w:rsid w:val="004A3EC5"/>
    <w:rsid w:val="004A4B0D"/>
    <w:rsid w:val="004B244A"/>
    <w:rsid w:val="004D16FF"/>
    <w:rsid w:val="004D3079"/>
    <w:rsid w:val="004F6E7E"/>
    <w:rsid w:val="00500DE4"/>
    <w:rsid w:val="00561E38"/>
    <w:rsid w:val="005624FB"/>
    <w:rsid w:val="00563F98"/>
    <w:rsid w:val="005710DF"/>
    <w:rsid w:val="005847F3"/>
    <w:rsid w:val="00587207"/>
    <w:rsid w:val="0059115F"/>
    <w:rsid w:val="005A545C"/>
    <w:rsid w:val="005D1B2F"/>
    <w:rsid w:val="005D5BE0"/>
    <w:rsid w:val="005F0437"/>
    <w:rsid w:val="005F0B98"/>
    <w:rsid w:val="006009CD"/>
    <w:rsid w:val="00606F89"/>
    <w:rsid w:val="0061692B"/>
    <w:rsid w:val="00617325"/>
    <w:rsid w:val="00617ABA"/>
    <w:rsid w:val="00650D9A"/>
    <w:rsid w:val="00657881"/>
    <w:rsid w:val="00672A86"/>
    <w:rsid w:val="00680F88"/>
    <w:rsid w:val="00693916"/>
    <w:rsid w:val="006A6BA9"/>
    <w:rsid w:val="006B2230"/>
    <w:rsid w:val="006B4A5E"/>
    <w:rsid w:val="006B56FD"/>
    <w:rsid w:val="006B6D5E"/>
    <w:rsid w:val="006B750D"/>
    <w:rsid w:val="006B7972"/>
    <w:rsid w:val="006D3E6E"/>
    <w:rsid w:val="006E18D8"/>
    <w:rsid w:val="00702D2E"/>
    <w:rsid w:val="0070636C"/>
    <w:rsid w:val="00707544"/>
    <w:rsid w:val="0070758E"/>
    <w:rsid w:val="00707816"/>
    <w:rsid w:val="0072167A"/>
    <w:rsid w:val="00733B2A"/>
    <w:rsid w:val="0073413C"/>
    <w:rsid w:val="007424D9"/>
    <w:rsid w:val="00752861"/>
    <w:rsid w:val="00761B7B"/>
    <w:rsid w:val="007676E4"/>
    <w:rsid w:val="007A1B98"/>
    <w:rsid w:val="007A3E99"/>
    <w:rsid w:val="007A4D8C"/>
    <w:rsid w:val="007B3136"/>
    <w:rsid w:val="007C3EF6"/>
    <w:rsid w:val="007D646B"/>
    <w:rsid w:val="007D7670"/>
    <w:rsid w:val="007E42E3"/>
    <w:rsid w:val="007F63EE"/>
    <w:rsid w:val="00807611"/>
    <w:rsid w:val="008169F7"/>
    <w:rsid w:val="00871545"/>
    <w:rsid w:val="00871FA1"/>
    <w:rsid w:val="00887F0D"/>
    <w:rsid w:val="008A7D5B"/>
    <w:rsid w:val="008B5A5C"/>
    <w:rsid w:val="008D4C13"/>
    <w:rsid w:val="008E4CF9"/>
    <w:rsid w:val="008F3897"/>
    <w:rsid w:val="00911BE1"/>
    <w:rsid w:val="00920A62"/>
    <w:rsid w:val="00936620"/>
    <w:rsid w:val="00960283"/>
    <w:rsid w:val="00964C95"/>
    <w:rsid w:val="00967F6A"/>
    <w:rsid w:val="00977047"/>
    <w:rsid w:val="00977A18"/>
    <w:rsid w:val="00983FD5"/>
    <w:rsid w:val="0099018B"/>
    <w:rsid w:val="0099169F"/>
    <w:rsid w:val="0099635C"/>
    <w:rsid w:val="00996C6E"/>
    <w:rsid w:val="009979E4"/>
    <w:rsid w:val="009B2356"/>
    <w:rsid w:val="009B49D5"/>
    <w:rsid w:val="009C373F"/>
    <w:rsid w:val="009D09D0"/>
    <w:rsid w:val="009D73DE"/>
    <w:rsid w:val="00A30403"/>
    <w:rsid w:val="00A452CD"/>
    <w:rsid w:val="00A463F0"/>
    <w:rsid w:val="00A56040"/>
    <w:rsid w:val="00A65A5E"/>
    <w:rsid w:val="00AD1A00"/>
    <w:rsid w:val="00AD69A5"/>
    <w:rsid w:val="00AE355C"/>
    <w:rsid w:val="00AF1D86"/>
    <w:rsid w:val="00AF4501"/>
    <w:rsid w:val="00B03754"/>
    <w:rsid w:val="00B041EC"/>
    <w:rsid w:val="00B044BF"/>
    <w:rsid w:val="00B11DE4"/>
    <w:rsid w:val="00B12225"/>
    <w:rsid w:val="00B20A9C"/>
    <w:rsid w:val="00B26A30"/>
    <w:rsid w:val="00B303CE"/>
    <w:rsid w:val="00B47DCC"/>
    <w:rsid w:val="00B500A4"/>
    <w:rsid w:val="00B55F2A"/>
    <w:rsid w:val="00B73472"/>
    <w:rsid w:val="00B97AB0"/>
    <w:rsid w:val="00BB2B2B"/>
    <w:rsid w:val="00BC17AA"/>
    <w:rsid w:val="00BF255C"/>
    <w:rsid w:val="00C11DFB"/>
    <w:rsid w:val="00C1344B"/>
    <w:rsid w:val="00C262A8"/>
    <w:rsid w:val="00C5125C"/>
    <w:rsid w:val="00C57E73"/>
    <w:rsid w:val="00C701FE"/>
    <w:rsid w:val="00CA09F1"/>
    <w:rsid w:val="00CA4421"/>
    <w:rsid w:val="00CB5710"/>
    <w:rsid w:val="00CD5F0B"/>
    <w:rsid w:val="00CE2784"/>
    <w:rsid w:val="00CF5C57"/>
    <w:rsid w:val="00D07011"/>
    <w:rsid w:val="00D16A67"/>
    <w:rsid w:val="00D3726D"/>
    <w:rsid w:val="00D65808"/>
    <w:rsid w:val="00D65B83"/>
    <w:rsid w:val="00D81D16"/>
    <w:rsid w:val="00D82466"/>
    <w:rsid w:val="00DA4B9E"/>
    <w:rsid w:val="00DB29BA"/>
    <w:rsid w:val="00DC4B0A"/>
    <w:rsid w:val="00DD49A7"/>
    <w:rsid w:val="00DE0872"/>
    <w:rsid w:val="00DE3E19"/>
    <w:rsid w:val="00E009C0"/>
    <w:rsid w:val="00E02901"/>
    <w:rsid w:val="00E22B35"/>
    <w:rsid w:val="00E31AD5"/>
    <w:rsid w:val="00E370B1"/>
    <w:rsid w:val="00E56D07"/>
    <w:rsid w:val="00E60333"/>
    <w:rsid w:val="00E634FD"/>
    <w:rsid w:val="00E64F56"/>
    <w:rsid w:val="00E72A90"/>
    <w:rsid w:val="00E85FB3"/>
    <w:rsid w:val="00E92860"/>
    <w:rsid w:val="00E92E6B"/>
    <w:rsid w:val="00EB07AB"/>
    <w:rsid w:val="00EE2622"/>
    <w:rsid w:val="00EE39A3"/>
    <w:rsid w:val="00EF2645"/>
    <w:rsid w:val="00EF51C9"/>
    <w:rsid w:val="00F0216A"/>
    <w:rsid w:val="00F02A9A"/>
    <w:rsid w:val="00F0506E"/>
    <w:rsid w:val="00F122D0"/>
    <w:rsid w:val="00F12942"/>
    <w:rsid w:val="00F157C5"/>
    <w:rsid w:val="00F22256"/>
    <w:rsid w:val="00F26C41"/>
    <w:rsid w:val="00F34B46"/>
    <w:rsid w:val="00F479BE"/>
    <w:rsid w:val="00F77EFB"/>
    <w:rsid w:val="00F86758"/>
    <w:rsid w:val="00FA2EDA"/>
    <w:rsid w:val="00FC18D4"/>
    <w:rsid w:val="00FD3AE2"/>
    <w:rsid w:val="00FD76FF"/>
    <w:rsid w:val="00FF14D6"/>
    <w:rsid w:val="00FF5E56"/>
    <w:rsid w:val="00FF5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2321"/>
  <w15:chartTrackingRefBased/>
  <w15:docId w15:val="{534150CA-DF53-4A7B-A83F-5F24D07C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49A7"/>
  </w:style>
  <w:style w:type="paragraph" w:styleId="Heading1">
    <w:name w:val="heading 1"/>
    <w:basedOn w:val="Normal"/>
    <w:next w:val="Normal"/>
    <w:link w:val="Heading1Char"/>
    <w:uiPriority w:val="9"/>
    <w:qFormat/>
    <w:rsid w:val="00EB07AB"/>
    <w:pPr>
      <w:keepNext/>
      <w:spacing w:after="0" w:line="240" w:lineRule="auto"/>
      <w:jc w:val="right"/>
      <w:outlineLvl w:val="0"/>
    </w:pPr>
    <w:rPr>
      <w:rFonts w:ascii="Arial Mon" w:eastAsia="Times New Roman" w:hAnsi="Arial Mon" w:cs="Times New Roman"/>
      <w:b/>
      <w:sz w:val="24"/>
      <w:szCs w:val="20"/>
      <w:lang w:val="x-none"/>
    </w:rPr>
  </w:style>
  <w:style w:type="paragraph" w:styleId="Heading2">
    <w:name w:val="heading 2"/>
    <w:basedOn w:val="Normal"/>
    <w:next w:val="Normal"/>
    <w:link w:val="Heading2Char"/>
    <w:uiPriority w:val="9"/>
    <w:unhideWhenUsed/>
    <w:qFormat/>
    <w:rsid w:val="00EB07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07AB"/>
    <w:pPr>
      <w:keepNext/>
      <w:keepLines/>
      <w:spacing w:before="40" w:after="0"/>
      <w:outlineLvl w:val="2"/>
    </w:pPr>
    <w:rPr>
      <w:rFonts w:ascii="Times New Roman" w:eastAsiaTheme="majorEastAsia" w:hAnsi="Times New Roman" w:cs="Times New Roman"/>
      <w:color w:val="1F3763" w:themeColor="accent1" w:themeShade="7F"/>
      <w:sz w:val="24"/>
      <w:szCs w:val="24"/>
      <w:lang w:val="mn-MN"/>
    </w:rPr>
  </w:style>
  <w:style w:type="paragraph" w:styleId="Heading4">
    <w:name w:val="heading 4"/>
    <w:basedOn w:val="Normal"/>
    <w:next w:val="Normal"/>
    <w:link w:val="Heading4Char"/>
    <w:uiPriority w:val="9"/>
    <w:unhideWhenUsed/>
    <w:qFormat/>
    <w:rsid w:val="00EB07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7AB"/>
    <w:rPr>
      <w:rFonts w:ascii="Arial Mon" w:eastAsia="Times New Roman" w:hAnsi="Arial Mon" w:cs="Times New Roman"/>
      <w:b/>
      <w:sz w:val="24"/>
      <w:szCs w:val="20"/>
      <w:lang w:val="x-none"/>
    </w:rPr>
  </w:style>
  <w:style w:type="paragraph" w:styleId="Title">
    <w:name w:val="Title"/>
    <w:basedOn w:val="Normal"/>
    <w:link w:val="TitleChar"/>
    <w:uiPriority w:val="10"/>
    <w:qFormat/>
    <w:rsid w:val="00EB07AB"/>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uiPriority w:val="10"/>
    <w:rsid w:val="00EB07AB"/>
    <w:rPr>
      <w:rFonts w:ascii="Times New Roman Mon" w:eastAsia="Times New Roman" w:hAnsi="Times New Roman Mon" w:cs="Times New Roman"/>
      <w:b/>
      <w:bCs/>
      <w:color w:val="3366FF"/>
      <w:sz w:val="44"/>
      <w:szCs w:val="24"/>
      <w:lang w:val="ms-MY"/>
    </w:rPr>
  </w:style>
  <w:style w:type="character" w:customStyle="1" w:styleId="Heading2Char">
    <w:name w:val="Heading 2 Char"/>
    <w:basedOn w:val="DefaultParagraphFont"/>
    <w:link w:val="Heading2"/>
    <w:uiPriority w:val="9"/>
    <w:rsid w:val="00EB07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B07AB"/>
    <w:rPr>
      <w:rFonts w:ascii="Times New Roman" w:eastAsiaTheme="majorEastAsia" w:hAnsi="Times New Roman" w:cs="Times New Roman"/>
      <w:color w:val="1F3763" w:themeColor="accent1" w:themeShade="7F"/>
      <w:sz w:val="24"/>
      <w:szCs w:val="24"/>
      <w:lang w:val="mn-MN"/>
    </w:rPr>
  </w:style>
  <w:style w:type="character" w:customStyle="1" w:styleId="Heading4Char">
    <w:name w:val="Heading 4 Char"/>
    <w:basedOn w:val="DefaultParagraphFont"/>
    <w:link w:val="Heading4"/>
    <w:uiPriority w:val="9"/>
    <w:rsid w:val="00EB07AB"/>
    <w:rPr>
      <w:rFonts w:asciiTheme="majorHAnsi" w:eastAsiaTheme="majorEastAsia" w:hAnsiTheme="majorHAnsi" w:cstheme="majorBidi"/>
      <w:i/>
      <w:iCs/>
      <w:color w:val="2F5496" w:themeColor="accent1" w:themeShade="BF"/>
    </w:rPr>
  </w:style>
  <w:style w:type="paragraph" w:styleId="NoSpacing">
    <w:name w:val="No Spacing"/>
    <w:basedOn w:val="Normal"/>
    <w:link w:val="NoSpacingChar"/>
    <w:uiPriority w:val="1"/>
    <w:qFormat/>
    <w:rsid w:val="00EB07AB"/>
    <w:pPr>
      <w:jc w:val="both"/>
    </w:pPr>
    <w:rPr>
      <w:rFonts w:ascii="Times New Roman" w:hAnsi="Times New Roman" w:cs="Times New Roman"/>
      <w:lang w:val="mn-MN"/>
    </w:rPr>
  </w:style>
  <w:style w:type="character" w:customStyle="1" w:styleId="NoSpacingChar">
    <w:name w:val="No Spacing Char"/>
    <w:basedOn w:val="DefaultParagraphFont"/>
    <w:link w:val="NoSpacing"/>
    <w:uiPriority w:val="1"/>
    <w:rsid w:val="00EB07AB"/>
    <w:rPr>
      <w:rFonts w:ascii="Times New Roman" w:hAnsi="Times New Roman" w:cs="Times New Roman"/>
      <w:lang w:val="mn-MN"/>
    </w:rPr>
  </w:style>
  <w:style w:type="paragraph" w:styleId="Header">
    <w:name w:val="header"/>
    <w:basedOn w:val="Normal"/>
    <w:link w:val="HeaderChar"/>
    <w:uiPriority w:val="99"/>
    <w:unhideWhenUsed/>
    <w:rsid w:val="00EB07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B07AB"/>
  </w:style>
  <w:style w:type="paragraph" w:styleId="Footer">
    <w:name w:val="footer"/>
    <w:basedOn w:val="Normal"/>
    <w:link w:val="FooterChar"/>
    <w:uiPriority w:val="99"/>
    <w:unhideWhenUsed/>
    <w:rsid w:val="00EB07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B07AB"/>
  </w:style>
  <w:style w:type="paragraph" w:styleId="ListParagraph">
    <w:name w:val="List Paragraph"/>
    <w:aliases w:val="IBL List Paragraph,Bullets,List Paragraph1,Colorful List - Accent 11,List Paragraph (numbered (a)),References,List_Paragraph,Multilevel para_II,AusAID List Paragraph,Paragraph,Numbered Paragraph,Main numbered paragraph,List Paragraph Num"/>
    <w:basedOn w:val="Normal"/>
    <w:link w:val="ListParagraphChar"/>
    <w:uiPriority w:val="34"/>
    <w:qFormat/>
    <w:rsid w:val="00EB07AB"/>
    <w:pPr>
      <w:ind w:left="720"/>
      <w:contextualSpacing/>
    </w:pPr>
  </w:style>
  <w:style w:type="character" w:styleId="SubtleReference">
    <w:name w:val="Subtle Reference"/>
    <w:basedOn w:val="DefaultParagraphFont"/>
    <w:uiPriority w:val="31"/>
    <w:qFormat/>
    <w:rsid w:val="00EB07AB"/>
    <w:rPr>
      <w:smallCaps/>
      <w:color w:val="ED7D31" w:themeColor="accent2"/>
      <w:u w:val="single"/>
    </w:rPr>
  </w:style>
  <w:style w:type="paragraph" w:styleId="BalloonText">
    <w:name w:val="Balloon Text"/>
    <w:basedOn w:val="Normal"/>
    <w:link w:val="BalloonTextChar"/>
    <w:uiPriority w:val="99"/>
    <w:semiHidden/>
    <w:unhideWhenUsed/>
    <w:rsid w:val="00EB0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7AB"/>
    <w:rPr>
      <w:rFonts w:ascii="Segoe UI" w:hAnsi="Segoe UI" w:cs="Segoe UI"/>
      <w:sz w:val="18"/>
      <w:szCs w:val="18"/>
    </w:rPr>
  </w:style>
  <w:style w:type="paragraph" w:styleId="TOCHeading">
    <w:name w:val="TOC Heading"/>
    <w:basedOn w:val="Heading1"/>
    <w:next w:val="Normal"/>
    <w:uiPriority w:val="39"/>
    <w:unhideWhenUsed/>
    <w:qFormat/>
    <w:rsid w:val="00EB07AB"/>
    <w:pPr>
      <w:keepLines/>
      <w:spacing w:before="240" w:line="259" w:lineRule="auto"/>
      <w:jc w:val="left"/>
      <w:outlineLvl w:val="9"/>
    </w:pPr>
    <w:rPr>
      <w:rFonts w:asciiTheme="majorHAnsi" w:eastAsiaTheme="minorHAnsi" w:hAnsiTheme="majorHAnsi" w:cstheme="majorBidi"/>
      <w:b w:val="0"/>
      <w:color w:val="2F5496" w:themeColor="accent1" w:themeShade="BF"/>
      <w:sz w:val="32"/>
      <w:szCs w:val="32"/>
      <w:lang w:val="en-US"/>
    </w:rPr>
  </w:style>
  <w:style w:type="paragraph" w:styleId="Index1">
    <w:name w:val="index 1"/>
    <w:basedOn w:val="Normal"/>
    <w:next w:val="Normal"/>
    <w:autoRedefine/>
    <w:uiPriority w:val="99"/>
    <w:semiHidden/>
    <w:unhideWhenUsed/>
    <w:rsid w:val="00EB07AB"/>
    <w:pPr>
      <w:spacing w:after="0" w:line="240" w:lineRule="auto"/>
      <w:ind w:left="220" w:hanging="220"/>
    </w:pPr>
  </w:style>
  <w:style w:type="paragraph" w:styleId="TOC1">
    <w:name w:val="toc 1"/>
    <w:basedOn w:val="Normal"/>
    <w:next w:val="Normal"/>
    <w:autoRedefine/>
    <w:uiPriority w:val="39"/>
    <w:unhideWhenUsed/>
    <w:rsid w:val="00EB07AB"/>
    <w:pPr>
      <w:tabs>
        <w:tab w:val="right" w:leader="dot" w:pos="8822"/>
      </w:tabs>
      <w:spacing w:after="0"/>
    </w:pPr>
  </w:style>
  <w:style w:type="character" w:styleId="Hyperlink">
    <w:name w:val="Hyperlink"/>
    <w:basedOn w:val="DefaultParagraphFont"/>
    <w:uiPriority w:val="99"/>
    <w:unhideWhenUsed/>
    <w:rsid w:val="00EB07AB"/>
    <w:rPr>
      <w:color w:val="0563C1" w:themeColor="hyperlink"/>
      <w:u w:val="single"/>
    </w:rPr>
  </w:style>
  <w:style w:type="table" w:styleId="TableGrid">
    <w:name w:val="Table Grid"/>
    <w:basedOn w:val="TableNormal"/>
    <w:uiPriority w:val="39"/>
    <w:rsid w:val="00EB0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EB07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aliases w:val="Хавсралт"/>
    <w:basedOn w:val="Normal"/>
    <w:next w:val="Normal"/>
    <w:uiPriority w:val="35"/>
    <w:unhideWhenUsed/>
    <w:qFormat/>
    <w:rsid w:val="00EB07AB"/>
    <w:pPr>
      <w:spacing w:after="200" w:line="240" w:lineRule="auto"/>
    </w:pPr>
    <w:rPr>
      <w:i/>
      <w:iCs/>
      <w:color w:val="44546A" w:themeColor="text2"/>
      <w:sz w:val="18"/>
      <w:szCs w:val="18"/>
    </w:rPr>
  </w:style>
  <w:style w:type="paragraph" w:styleId="FootnoteText">
    <w:name w:val="footnote text"/>
    <w:basedOn w:val="Normal"/>
    <w:link w:val="FootnoteTextChar"/>
    <w:uiPriority w:val="99"/>
    <w:unhideWhenUsed/>
    <w:rsid w:val="00EB07AB"/>
    <w:pPr>
      <w:spacing w:after="0" w:line="240" w:lineRule="auto"/>
    </w:pPr>
    <w:rPr>
      <w:rFonts w:eastAsia="SimSun"/>
      <w:sz w:val="20"/>
      <w:szCs w:val="20"/>
    </w:rPr>
  </w:style>
  <w:style w:type="character" w:customStyle="1" w:styleId="FootnoteTextChar">
    <w:name w:val="Footnote Text Char"/>
    <w:basedOn w:val="DefaultParagraphFont"/>
    <w:link w:val="FootnoteText"/>
    <w:uiPriority w:val="99"/>
    <w:rsid w:val="00EB07AB"/>
    <w:rPr>
      <w:rFonts w:eastAsia="SimSun"/>
      <w:sz w:val="20"/>
      <w:szCs w:val="20"/>
    </w:rPr>
  </w:style>
  <w:style w:type="character" w:styleId="FootnoteReference">
    <w:name w:val="footnote reference"/>
    <w:basedOn w:val="DefaultParagraphFont"/>
    <w:uiPriority w:val="99"/>
    <w:semiHidden/>
    <w:unhideWhenUsed/>
    <w:rsid w:val="00EB07AB"/>
    <w:rPr>
      <w:vertAlign w:val="superscript"/>
    </w:rPr>
  </w:style>
  <w:style w:type="table" w:customStyle="1" w:styleId="LightShading-Accent11">
    <w:name w:val="Light Shading - Accent 11"/>
    <w:basedOn w:val="TableNormal"/>
    <w:uiPriority w:val="60"/>
    <w:rsid w:val="00EB07AB"/>
    <w:pPr>
      <w:spacing w:after="0" w:line="240" w:lineRule="auto"/>
    </w:pPr>
    <w:rPr>
      <w:rFonts w:eastAsia="SimSun"/>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ListParagraphChar">
    <w:name w:val="List Paragraph Char"/>
    <w:aliases w:val="IBL List Paragraph Char,Bullets Char,List Paragraph1 Char,Colorful List - Accent 11 Char,List Paragraph (numbered (a)) Char,References Char,List_Paragraph Char,Multilevel para_II Char,AusAID List Paragraph Char,Paragraph Char"/>
    <w:link w:val="ListParagraph"/>
    <w:uiPriority w:val="34"/>
    <w:qFormat/>
    <w:locked/>
    <w:rsid w:val="00EB07AB"/>
  </w:style>
  <w:style w:type="paragraph" w:styleId="TOC2">
    <w:name w:val="toc 2"/>
    <w:basedOn w:val="Normal"/>
    <w:next w:val="Normal"/>
    <w:autoRedefine/>
    <w:uiPriority w:val="39"/>
    <w:unhideWhenUsed/>
    <w:rsid w:val="00EB07AB"/>
    <w:pPr>
      <w:tabs>
        <w:tab w:val="right" w:leader="dot" w:pos="8810"/>
      </w:tabs>
      <w:spacing w:after="100"/>
      <w:ind w:left="220"/>
    </w:pPr>
  </w:style>
  <w:style w:type="paragraph" w:styleId="TOC3">
    <w:name w:val="toc 3"/>
    <w:basedOn w:val="Normal"/>
    <w:next w:val="Normal"/>
    <w:autoRedefine/>
    <w:uiPriority w:val="39"/>
    <w:unhideWhenUsed/>
    <w:rsid w:val="00EB07AB"/>
    <w:pPr>
      <w:tabs>
        <w:tab w:val="right" w:leader="dot" w:pos="9247"/>
      </w:tabs>
      <w:spacing w:after="100"/>
      <w:ind w:left="440"/>
    </w:pPr>
  </w:style>
  <w:style w:type="paragraph" w:styleId="NormalWeb">
    <w:name w:val="Normal (Web)"/>
    <w:basedOn w:val="Normal"/>
    <w:uiPriority w:val="99"/>
    <w:unhideWhenUsed/>
    <w:rsid w:val="00EB07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7AB"/>
    <w:rPr>
      <w:b/>
      <w:bCs/>
    </w:rPr>
  </w:style>
  <w:style w:type="character" w:styleId="CommentReference">
    <w:name w:val="annotation reference"/>
    <w:basedOn w:val="DefaultParagraphFont"/>
    <w:uiPriority w:val="99"/>
    <w:semiHidden/>
    <w:unhideWhenUsed/>
    <w:rsid w:val="00EB07AB"/>
    <w:rPr>
      <w:sz w:val="16"/>
      <w:szCs w:val="16"/>
    </w:rPr>
  </w:style>
  <w:style w:type="paragraph" w:styleId="CommentText">
    <w:name w:val="annotation text"/>
    <w:basedOn w:val="Normal"/>
    <w:link w:val="CommentTextChar"/>
    <w:uiPriority w:val="99"/>
    <w:unhideWhenUsed/>
    <w:rsid w:val="00EB07AB"/>
    <w:pPr>
      <w:spacing w:line="240" w:lineRule="auto"/>
    </w:pPr>
    <w:rPr>
      <w:sz w:val="20"/>
      <w:szCs w:val="20"/>
    </w:rPr>
  </w:style>
  <w:style w:type="character" w:customStyle="1" w:styleId="CommentTextChar">
    <w:name w:val="Comment Text Char"/>
    <w:basedOn w:val="DefaultParagraphFont"/>
    <w:link w:val="CommentText"/>
    <w:uiPriority w:val="99"/>
    <w:rsid w:val="00EB07AB"/>
    <w:rPr>
      <w:sz w:val="20"/>
      <w:szCs w:val="20"/>
    </w:rPr>
  </w:style>
  <w:style w:type="paragraph" w:styleId="CommentSubject">
    <w:name w:val="annotation subject"/>
    <w:basedOn w:val="CommentText"/>
    <w:next w:val="CommentText"/>
    <w:link w:val="CommentSubjectChar"/>
    <w:uiPriority w:val="99"/>
    <w:semiHidden/>
    <w:unhideWhenUsed/>
    <w:rsid w:val="00EB07AB"/>
    <w:rPr>
      <w:b/>
      <w:bCs/>
    </w:rPr>
  </w:style>
  <w:style w:type="character" w:customStyle="1" w:styleId="CommentSubjectChar">
    <w:name w:val="Comment Subject Char"/>
    <w:basedOn w:val="CommentTextChar"/>
    <w:link w:val="CommentSubject"/>
    <w:uiPriority w:val="99"/>
    <w:semiHidden/>
    <w:rsid w:val="00EB07AB"/>
    <w:rPr>
      <w:b/>
      <w:bCs/>
      <w:sz w:val="20"/>
      <w:szCs w:val="20"/>
    </w:rPr>
  </w:style>
  <w:style w:type="paragraph" w:styleId="Revision">
    <w:name w:val="Revision"/>
    <w:hidden/>
    <w:uiPriority w:val="99"/>
    <w:semiHidden/>
    <w:rsid w:val="00EB07AB"/>
    <w:pPr>
      <w:spacing w:after="0" w:line="240" w:lineRule="auto"/>
    </w:pPr>
  </w:style>
  <w:style w:type="paragraph" w:styleId="EndnoteText">
    <w:name w:val="endnote text"/>
    <w:basedOn w:val="Normal"/>
    <w:link w:val="EndnoteTextChar"/>
    <w:uiPriority w:val="99"/>
    <w:semiHidden/>
    <w:unhideWhenUsed/>
    <w:rsid w:val="00EB07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07AB"/>
    <w:rPr>
      <w:sz w:val="20"/>
      <w:szCs w:val="20"/>
    </w:rPr>
  </w:style>
  <w:style w:type="character" w:styleId="EndnoteReference">
    <w:name w:val="endnote reference"/>
    <w:basedOn w:val="DefaultParagraphFont"/>
    <w:uiPriority w:val="99"/>
    <w:semiHidden/>
    <w:unhideWhenUsed/>
    <w:rsid w:val="00EB07AB"/>
    <w:rPr>
      <w:vertAlign w:val="superscript"/>
    </w:rPr>
  </w:style>
  <w:style w:type="table" w:customStyle="1" w:styleId="GridTable4-Accent11">
    <w:name w:val="Grid Table 4 - Accent 11"/>
    <w:basedOn w:val="TableNormal"/>
    <w:uiPriority w:val="49"/>
    <w:rsid w:val="00EB07A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1">
    <w:name w:val="Grid Table 21"/>
    <w:basedOn w:val="TableNormal"/>
    <w:uiPriority w:val="47"/>
    <w:rsid w:val="00EB07A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1">
    <w:name w:val="List Table 41"/>
    <w:basedOn w:val="TableNormal"/>
    <w:uiPriority w:val="49"/>
    <w:rsid w:val="00EB07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EB07A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normaltextrun">
    <w:name w:val="normaltextrun"/>
    <w:basedOn w:val="DefaultParagraphFont"/>
    <w:rsid w:val="00EB07AB"/>
  </w:style>
  <w:style w:type="numbering" w:customStyle="1" w:styleId="Style2">
    <w:name w:val="Style2"/>
    <w:uiPriority w:val="99"/>
    <w:rsid w:val="00EB07AB"/>
    <w:pPr>
      <w:numPr>
        <w:numId w:val="3"/>
      </w:numPr>
    </w:pPr>
  </w:style>
  <w:style w:type="paragraph" w:styleId="ListBullet">
    <w:name w:val="List Bullet"/>
    <w:basedOn w:val="Normal"/>
    <w:uiPriority w:val="99"/>
    <w:unhideWhenUsed/>
    <w:rsid w:val="00EB07AB"/>
    <w:pPr>
      <w:numPr>
        <w:numId w:val="4"/>
      </w:numPr>
      <w:contextualSpacing/>
    </w:pPr>
  </w:style>
  <w:style w:type="table" w:styleId="LightShading-Accent1">
    <w:name w:val="Light Shading Accent 1"/>
    <w:basedOn w:val="TableNormal"/>
    <w:uiPriority w:val="60"/>
    <w:rsid w:val="00EB07AB"/>
    <w:pPr>
      <w:spacing w:after="0" w:line="240" w:lineRule="auto"/>
    </w:pPr>
    <w:rPr>
      <w:rFonts w:eastAsia="SimSun"/>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UnresolvedMention">
    <w:name w:val="Unresolved Mention"/>
    <w:basedOn w:val="DefaultParagraphFont"/>
    <w:uiPriority w:val="99"/>
    <w:unhideWhenUsed/>
    <w:rsid w:val="00EB07AB"/>
    <w:rPr>
      <w:color w:val="605E5C"/>
      <w:shd w:val="clear" w:color="auto" w:fill="E1DFDD"/>
    </w:rPr>
  </w:style>
  <w:style w:type="character" w:styleId="Mention">
    <w:name w:val="Mention"/>
    <w:basedOn w:val="DefaultParagraphFont"/>
    <w:uiPriority w:val="99"/>
    <w:unhideWhenUsed/>
    <w:rsid w:val="00EB07AB"/>
    <w:rPr>
      <w:color w:val="2B579A"/>
      <w:shd w:val="clear" w:color="auto" w:fill="E1DFDD"/>
    </w:rPr>
  </w:style>
  <w:style w:type="paragraph" w:customStyle="1" w:styleId="paragraph">
    <w:name w:val="paragraph"/>
    <w:basedOn w:val="Normal"/>
    <w:rsid w:val="00EB0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B07AB"/>
  </w:style>
  <w:style w:type="character" w:customStyle="1" w:styleId="superscript">
    <w:name w:val="superscript"/>
    <w:basedOn w:val="DefaultParagraphFont"/>
    <w:rsid w:val="00EB07AB"/>
  </w:style>
  <w:style w:type="table" w:styleId="GridTable4-Accent1">
    <w:name w:val="Grid Table 4 Accent 1"/>
    <w:basedOn w:val="TableNormal"/>
    <w:uiPriority w:val="49"/>
    <w:rsid w:val="00EB07AB"/>
    <w:pPr>
      <w:spacing w:after="0" w:line="240" w:lineRule="auto"/>
    </w:pPr>
    <w:rPr>
      <w:rFonts w:eastAsiaTheme="minorEastAsi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EB07AB"/>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
    <w:name w:val="List Table 3"/>
    <w:basedOn w:val="TableNormal"/>
    <w:uiPriority w:val="48"/>
    <w:rsid w:val="00EB07AB"/>
    <w:pPr>
      <w:spacing w:after="0" w:line="240" w:lineRule="auto"/>
    </w:pPr>
    <w:rPr>
      <w:rFonts w:eastAsiaTheme="minorEastAs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B07AB"/>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EB07AB"/>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3">
    <w:name w:val="Plain Table 3"/>
    <w:basedOn w:val="TableNormal"/>
    <w:uiPriority w:val="43"/>
    <w:rsid w:val="00EB07AB"/>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EB07AB"/>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ableofFigures">
    <w:name w:val="table of figures"/>
    <w:basedOn w:val="Normal"/>
    <w:next w:val="Normal"/>
    <w:uiPriority w:val="99"/>
    <w:unhideWhenUsed/>
    <w:rsid w:val="00EB07AB"/>
    <w:pPr>
      <w:spacing w:after="0" w:line="276" w:lineRule="auto"/>
    </w:pPr>
    <w:rPr>
      <w:rFonts w:ascii="Arial" w:eastAsia="SimSun" w:hAnsi="Arial" w:cs="Arial"/>
    </w:rPr>
  </w:style>
  <w:style w:type="character" w:styleId="LineNumber">
    <w:name w:val="line number"/>
    <w:basedOn w:val="DefaultParagraphFont"/>
    <w:uiPriority w:val="99"/>
    <w:semiHidden/>
    <w:unhideWhenUsed/>
    <w:rsid w:val="00EB07AB"/>
  </w:style>
  <w:style w:type="character" w:customStyle="1" w:styleId="UnresolvedMention1">
    <w:name w:val="Unresolved Mention1"/>
    <w:basedOn w:val="DefaultParagraphFont"/>
    <w:uiPriority w:val="99"/>
    <w:unhideWhenUsed/>
    <w:rsid w:val="00EB0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chart" Target="charts/chart10.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https://mofgovmn.sharepoint.com/sites/-765/DS/DSA/10.%20&#1256;&#1088;&#1080;&#1081;&#1085;%20&#1089;&#1090;&#1088;&#1072;&#1090;&#1077;&#1075;&#1080;%202023-2025/&#1057;&#1090;&#1088;&#1072;&#1090;&#1077;&#1075;&#1080;%202023-2025/&#1043;&#1088;&#1072;&#1092;&#1080;&#1082;&#1091;&#1091;&#1076;.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https://mofgovmn.sharepoint.com/sites/-765/DS/DSA/10.%20&#1256;&#1088;&#1080;&#1081;&#1085;%20&#1089;&#1090;&#1088;&#1072;&#1090;&#1077;&#1075;&#1080;%202023-2025/&#1057;&#1090;&#1088;&#1072;&#1090;&#1077;&#1075;&#1080;%202023-2025/MTDS%20AT%20Revised%20-%202022.xlsm"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esktop\&#1057;&#1090;&#1088;&#1072;&#1090;&#1077;&#1075;&#1080;\&#1053;&#1080;&#1081;&#1090;%20&#1075;&#1072;&#1076;&#1072;&#1072;&#1076;%20&#1257;&#1088;%20(&#1089;&#1077;&#1082;&#1090;&#1086;&#1088;&#1086;&#1086;&#1088;,%20&#1199;&#1083;&#1076;&#1101;&#1075;&#1076;&#1101;&#1083;)%20(1).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Desktop\&#1057;&#1090;&#1088;&#1072;&#1090;&#1077;&#1075;&#1080;\&#1053;&#1080;&#1081;&#1090;%20&#1075;&#1072;&#1076;&#1072;&#1072;&#1076;%20&#1257;&#1088;%20(&#1089;&#1077;&#1082;&#1090;&#1086;&#1088;&#1086;&#1086;&#1088;,%20&#1199;&#1083;&#1076;&#1101;&#1075;&#1076;&#1101;&#1083;)%20(1).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oleObject" Target="https://mofgovmn-my.sharepoint.com/personal/nyamragchaa_b_mof_gov_mn/Documents/Microsoft%20Teams%20Chat%20Files/Copy%20of%20rating%20graph%20(1)_163240492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https://mofgovmn.sharepoint.com/sites/-765/DS/DSA/10.%20&#1256;&#1088;&#1080;&#1081;&#1085;%20&#1089;&#1090;&#1088;&#1072;&#1090;&#1077;&#1075;&#1080;%202023-2025/&#1057;&#1090;&#1088;&#1072;&#1090;&#1077;&#1075;&#1080;%202023-2025/MTDS%20AT%20Revised%20-%202022.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02080617406278E-2"/>
          <c:y val="5.7845431855801724E-2"/>
          <c:w val="0.34398772788536564"/>
          <c:h val="0.78203047199745179"/>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F3B-5A4F-A890-F4383EEEAD1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F3B-5A4F-A890-F4383EEEAD1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F3B-5A4F-A890-F4383EEEAD1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F3B-5A4F-A890-F4383EEEAD16}"/>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F3B-5A4F-A890-F4383EEEAD16}"/>
              </c:ext>
            </c:extLst>
          </c:dPt>
          <c:dLbls>
            <c:dLbl>
              <c:idx val="0"/>
              <c:layout>
                <c:manualLayout>
                  <c:x val="-8.9913190749805E-2"/>
                  <c:y val="0.12084114858776981"/>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Arial" panose="020B0604020202020204" pitchFamily="34" charset="0"/>
                      <a:ea typeface="+mn-ea"/>
                      <a:cs typeface="+mn-cs"/>
                    </a:defRPr>
                  </a:pPr>
                  <a:endParaRPr lang="en-MN"/>
                </a:p>
              </c:txPr>
              <c:dLblPos val="bestFit"/>
              <c:showLegendKey val="0"/>
              <c:showVal val="0"/>
              <c:showCatName val="0"/>
              <c:showSerName val="0"/>
              <c:showPercent val="1"/>
              <c:showBubbleSize val="0"/>
              <c:extLst>
                <c:ext xmlns:c15="http://schemas.microsoft.com/office/drawing/2012/chart" uri="{CE6537A1-D6FC-4f65-9D91-7224C49458BB}">
                  <c15:layout>
                    <c:manualLayout>
                      <c:w val="7.8851351351351337E-2"/>
                      <c:h val="6.5054883064990007E-2"/>
                    </c:manualLayout>
                  </c15:layout>
                </c:ext>
                <c:ext xmlns:c16="http://schemas.microsoft.com/office/drawing/2014/chart" uri="{C3380CC4-5D6E-409C-BE32-E72D297353CC}">
                  <c16:uniqueId val="{00000001-7F3B-5A4F-A890-F4383EEEAD16}"/>
                </c:ext>
              </c:extLst>
            </c:dLbl>
            <c:dLbl>
              <c:idx val="1"/>
              <c:layout>
                <c:manualLayout>
                  <c:x val="-7.3738206710647652E-2"/>
                  <c:y val="-2.762126375994045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F3B-5A4F-A890-F4383EEEAD16}"/>
                </c:ext>
              </c:extLst>
            </c:dLbl>
            <c:dLbl>
              <c:idx val="2"/>
              <c:layout>
                <c:manualLayout>
                  <c:x val="-5.9120646236788053E-2"/>
                  <c:y val="-0.18273059897363575"/>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Arial" panose="020B0604020202020204" pitchFamily="34" charset="0"/>
                      <a:ea typeface="+mn-ea"/>
                      <a:cs typeface="+mn-cs"/>
                    </a:defRPr>
                  </a:pPr>
                  <a:endParaRPr lang="en-MN"/>
                </a:p>
              </c:txPr>
              <c:dLblPos val="bestFit"/>
              <c:showLegendKey val="0"/>
              <c:showVal val="0"/>
              <c:showCatName val="0"/>
              <c:showSerName val="0"/>
              <c:showPercent val="1"/>
              <c:showBubbleSize val="0"/>
              <c:extLst>
                <c:ext xmlns:c15="http://schemas.microsoft.com/office/drawing/2012/chart" uri="{CE6537A1-D6FC-4f65-9D91-7224C49458BB}">
                  <c15:layout>
                    <c:manualLayout>
                      <c:w val="5.4076576576576565E-2"/>
                      <c:h val="8.8935480079915363E-2"/>
                    </c:manualLayout>
                  </c15:layout>
                </c:ext>
                <c:ext xmlns:c16="http://schemas.microsoft.com/office/drawing/2014/chart" uri="{C3380CC4-5D6E-409C-BE32-E72D297353CC}">
                  <c16:uniqueId val="{00000005-7F3B-5A4F-A890-F4383EEEAD16}"/>
                </c:ext>
              </c:extLst>
            </c:dLbl>
            <c:dLbl>
              <c:idx val="3"/>
              <c:layout>
                <c:manualLayout>
                  <c:x val="5.119570318610836E-2"/>
                  <c:y val="-0.1021396017265550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F3B-5A4F-A890-F4383EEEAD16}"/>
                </c:ext>
              </c:extLst>
            </c:dLbl>
            <c:dLbl>
              <c:idx val="4"/>
              <c:layout>
                <c:manualLayout>
                  <c:x val="0.10681740795914024"/>
                  <c:y val="6.4534649586712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F3B-5A4F-A890-F4383EEEAD1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mn-cs"/>
                  </a:defRPr>
                </a:pPr>
                <a:endParaRPr lang="en-M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[Графикууд.xlsx]Sheet1!$B$3:$B$7</c:f>
              <c:strCache>
                <c:ptCount val="5"/>
                <c:pt idx="0">
                  <c:v>Засгийн газрын гадаад өр</c:v>
                </c:pt>
                <c:pt idx="1">
                  <c:v>Төв банкны гадаад өр </c:v>
                </c:pt>
                <c:pt idx="2">
                  <c:v>Бусад салбарын өр </c:v>
                </c:pt>
                <c:pt idx="3">
                  <c:v>Төв банкнаас бусад хадгаламжийн байгууллагын өр</c:v>
                </c:pt>
                <c:pt idx="4">
                  <c:v>Компани хоорондын зээллэг </c:v>
                </c:pt>
              </c:strCache>
            </c:strRef>
          </c:cat>
          <c:val>
            <c:numRef>
              <c:f>[Графикууд.xlsx]Sheet1!$C$3:$C$7</c:f>
              <c:numCache>
                <c:formatCode>General</c:formatCode>
                <c:ptCount val="5"/>
                <c:pt idx="0">
                  <c:v>8.5</c:v>
                </c:pt>
                <c:pt idx="1">
                  <c:v>2.6</c:v>
                </c:pt>
                <c:pt idx="2">
                  <c:v>8.1999999999999993</c:v>
                </c:pt>
                <c:pt idx="3">
                  <c:v>1.6</c:v>
                </c:pt>
                <c:pt idx="4">
                  <c:v>12.3</c:v>
                </c:pt>
              </c:numCache>
            </c:numRef>
          </c:val>
          <c:extLst>
            <c:ext xmlns:c16="http://schemas.microsoft.com/office/drawing/2014/chart" uri="{C3380CC4-5D6E-409C-BE32-E72D297353CC}">
              <c16:uniqueId val="{0000000A-7F3B-5A4F-A890-F4383EEEAD1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58018424849211725"/>
          <c:y val="3.2204921314538836E-4"/>
          <c:w val="0.3505852309001915"/>
          <c:h val="0.92187858646946697"/>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M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M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063168196602084"/>
          <c:y val="0.17469025462726281"/>
          <c:w val="0.75911161665297477"/>
          <c:h val="0.64313978934451455"/>
        </c:manualLayout>
      </c:layout>
      <c:scatterChart>
        <c:scatterStyle val="lineMarker"/>
        <c:varyColors val="0"/>
        <c:ser>
          <c:idx val="0"/>
          <c:order val="0"/>
          <c:tx>
            <c:strRef>
              <c:f>Tables!$C$181</c:f>
              <c:strCache>
                <c:ptCount val="1"/>
                <c:pt idx="0">
                  <c:v>S1</c:v>
                </c:pt>
              </c:strCache>
            </c:strRef>
          </c:tx>
          <c:spPr>
            <a:ln w="25400">
              <a:noFill/>
            </a:ln>
            <a:effectLst/>
          </c:spPr>
          <c:marker>
            <c:symbol val="circle"/>
            <c:size val="5"/>
            <c:spPr>
              <a:solidFill>
                <a:srgbClr val="4B8CAD"/>
              </a:solidFill>
              <a:ln w="9525">
                <a:noFill/>
              </a:ln>
            </c:spPr>
          </c:marker>
          <c:dLbls>
            <c:spPr>
              <a:noFill/>
              <a:ln w="25400">
                <a:noFill/>
              </a:ln>
            </c:spPr>
            <c:txPr>
              <a:bodyPr/>
              <a:lstStyle/>
              <a:p>
                <a:pPr>
                  <a:defRPr sz="1100" b="0" i="0" u="none" strike="noStrike" baseline="0">
                    <a:solidFill>
                      <a:srgbClr val="000000"/>
                    </a:solidFill>
                    <a:latin typeface="Segoe UI"/>
                    <a:ea typeface="Segoe UI"/>
                    <a:cs typeface="Segoe UI"/>
                  </a:defRPr>
                </a:pPr>
                <a:endParaRPr lang="en-MN"/>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Tables!$C$187</c:f>
              <c:numCache>
                <c:formatCode>0.0_);[Red]\(0.0\)</c:formatCode>
                <c:ptCount val="1"/>
                <c:pt idx="0">
                  <c:v>1.5305219326786528</c:v>
                </c:pt>
              </c:numCache>
            </c:numRef>
          </c:xVal>
          <c:yVal>
            <c:numRef>
              <c:f>Tables!$C$182</c:f>
              <c:numCache>
                <c:formatCode>0.0_);[Red]\(0.0\)</c:formatCode>
                <c:ptCount val="1"/>
                <c:pt idx="0">
                  <c:v>61.741136377442274</c:v>
                </c:pt>
              </c:numCache>
            </c:numRef>
          </c:yVal>
          <c:smooth val="0"/>
          <c:extLst>
            <c:ext xmlns:c16="http://schemas.microsoft.com/office/drawing/2014/chart" uri="{C3380CC4-5D6E-409C-BE32-E72D297353CC}">
              <c16:uniqueId val="{00000000-F773-DA47-A625-822A5553757E}"/>
            </c:ext>
          </c:extLst>
        </c:ser>
        <c:ser>
          <c:idx val="1"/>
          <c:order val="1"/>
          <c:tx>
            <c:strRef>
              <c:f>Tables!$D$181</c:f>
              <c:strCache>
                <c:ptCount val="1"/>
                <c:pt idx="0">
                  <c:v>S2</c:v>
                </c:pt>
              </c:strCache>
            </c:strRef>
          </c:tx>
          <c:spPr>
            <a:ln w="25400">
              <a:noFill/>
            </a:ln>
            <a:effectLst/>
          </c:spPr>
          <c:marker>
            <c:symbol val="diamond"/>
            <c:size val="5"/>
            <c:spPr>
              <a:solidFill>
                <a:srgbClr val="C00000"/>
              </a:solidFill>
              <a:ln w="9525">
                <a:noFill/>
              </a:ln>
            </c:spPr>
          </c:marker>
          <c:dLbls>
            <c:spPr>
              <a:noFill/>
              <a:ln w="25400">
                <a:noFill/>
              </a:ln>
            </c:spPr>
            <c:txPr>
              <a:bodyPr/>
              <a:lstStyle/>
              <a:p>
                <a:pPr>
                  <a:defRPr sz="1100" b="0" i="0" u="none" strike="noStrike" baseline="0">
                    <a:solidFill>
                      <a:srgbClr val="000000"/>
                    </a:solidFill>
                    <a:latin typeface="Segoe UI"/>
                    <a:ea typeface="Segoe UI"/>
                    <a:cs typeface="Segoe UI"/>
                  </a:defRPr>
                </a:pPr>
                <a:endParaRPr lang="en-MN"/>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Tables!$D$187</c:f>
              <c:numCache>
                <c:formatCode>0.0_);[Red]\(0.0\)</c:formatCode>
                <c:ptCount val="1"/>
                <c:pt idx="0">
                  <c:v>1.5729599901289646</c:v>
                </c:pt>
              </c:numCache>
            </c:numRef>
          </c:xVal>
          <c:yVal>
            <c:numRef>
              <c:f>Tables!$D$182</c:f>
              <c:numCache>
                <c:formatCode>0.0_);[Red]\(0.0\)</c:formatCode>
                <c:ptCount val="1"/>
                <c:pt idx="0">
                  <c:v>69.008056382613375</c:v>
                </c:pt>
              </c:numCache>
            </c:numRef>
          </c:yVal>
          <c:smooth val="0"/>
          <c:extLst>
            <c:ext xmlns:c16="http://schemas.microsoft.com/office/drawing/2014/chart" uri="{C3380CC4-5D6E-409C-BE32-E72D297353CC}">
              <c16:uniqueId val="{00000001-F773-DA47-A625-822A5553757E}"/>
            </c:ext>
          </c:extLst>
        </c:ser>
        <c:ser>
          <c:idx val="3"/>
          <c:order val="2"/>
          <c:tx>
            <c:strRef>
              <c:f>Tables!$E$181</c:f>
              <c:strCache>
                <c:ptCount val="1"/>
                <c:pt idx="0">
                  <c:v>S3</c:v>
                </c:pt>
              </c:strCache>
            </c:strRef>
          </c:tx>
          <c:spPr>
            <a:ln w="25400">
              <a:noFill/>
            </a:ln>
            <a:effectLst/>
          </c:spPr>
          <c:marker>
            <c:symbol val="square"/>
            <c:size val="5"/>
            <c:spPr>
              <a:solidFill>
                <a:srgbClr val="231F20"/>
              </a:solidFill>
              <a:ln w="9525">
                <a:noFill/>
              </a:ln>
            </c:spPr>
          </c:marker>
          <c:dLbls>
            <c:spPr>
              <a:noFill/>
              <a:ln w="25400">
                <a:noFill/>
              </a:ln>
            </c:spPr>
            <c:txPr>
              <a:bodyPr/>
              <a:lstStyle/>
              <a:p>
                <a:pPr>
                  <a:defRPr sz="1000" b="0" i="0" u="none" strike="noStrike" baseline="0">
                    <a:solidFill>
                      <a:srgbClr val="000000"/>
                    </a:solidFill>
                    <a:latin typeface="Segoe UI"/>
                    <a:ea typeface="Segoe UI"/>
                    <a:cs typeface="Segoe UI"/>
                  </a:defRPr>
                </a:pPr>
                <a:endParaRPr lang="en-MN"/>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Tables!$E$187</c:f>
              <c:numCache>
                <c:formatCode>0.0_);[Red]\(0.0\)</c:formatCode>
                <c:ptCount val="1"/>
                <c:pt idx="0">
                  <c:v>1.466864846503185</c:v>
                </c:pt>
              </c:numCache>
            </c:numRef>
          </c:xVal>
          <c:yVal>
            <c:numRef>
              <c:f>Tables!$E$182</c:f>
              <c:numCache>
                <c:formatCode>0.0_);[Red]\(0.0\)</c:formatCode>
                <c:ptCount val="1"/>
                <c:pt idx="0">
                  <c:v>65.615311256135442</c:v>
                </c:pt>
              </c:numCache>
            </c:numRef>
          </c:yVal>
          <c:smooth val="0"/>
          <c:extLst>
            <c:ext xmlns:c16="http://schemas.microsoft.com/office/drawing/2014/chart" uri="{C3380CC4-5D6E-409C-BE32-E72D297353CC}">
              <c16:uniqueId val="{00000002-F773-DA47-A625-822A5553757E}"/>
            </c:ext>
          </c:extLst>
        </c:ser>
        <c:ser>
          <c:idx val="2"/>
          <c:order val="3"/>
          <c:tx>
            <c:strRef>
              <c:f>Tables!$F$181</c:f>
              <c:strCache>
                <c:ptCount val="1"/>
                <c:pt idx="0">
                  <c:v>S4</c:v>
                </c:pt>
              </c:strCache>
            </c:strRef>
          </c:tx>
          <c:spPr>
            <a:ln w="25400">
              <a:noFill/>
            </a:ln>
            <a:effectLst/>
          </c:spPr>
          <c:marker>
            <c:symbol val="triangle"/>
            <c:size val="5"/>
            <c:spPr>
              <a:solidFill>
                <a:srgbClr val="96BA79"/>
              </a:solidFill>
              <a:ln w="9525">
                <a:noFill/>
              </a:ln>
            </c:spPr>
          </c:marker>
          <c:dLbls>
            <c:spPr>
              <a:noFill/>
              <a:ln w="25400">
                <a:noFill/>
              </a:ln>
            </c:spPr>
            <c:txPr>
              <a:bodyPr/>
              <a:lstStyle/>
              <a:p>
                <a:pPr>
                  <a:defRPr sz="1000" b="0" i="0" u="none" strike="noStrike" baseline="0">
                    <a:solidFill>
                      <a:srgbClr val="000000"/>
                    </a:solidFill>
                    <a:latin typeface="Segoe UI"/>
                    <a:ea typeface="Segoe UI"/>
                    <a:cs typeface="Segoe UI"/>
                  </a:defRPr>
                </a:pPr>
                <a:endParaRPr lang="en-MN"/>
              </a:p>
            </c:txPr>
            <c:dLblPos val="l"/>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Tables!$F$187</c:f>
              <c:numCache>
                <c:formatCode>0.0_);[Red]\(0.0\)</c:formatCode>
                <c:ptCount val="1"/>
                <c:pt idx="0">
                  <c:v>1.4456031233833073</c:v>
                </c:pt>
              </c:numCache>
            </c:numRef>
          </c:xVal>
          <c:yVal>
            <c:numRef>
              <c:f>Tables!$F$182</c:f>
              <c:numCache>
                <c:formatCode>0.0_);[Red]\(0.0\)</c:formatCode>
                <c:ptCount val="1"/>
                <c:pt idx="0">
                  <c:v>61.968157059636333</c:v>
                </c:pt>
              </c:numCache>
            </c:numRef>
          </c:yVal>
          <c:smooth val="0"/>
          <c:extLst>
            <c:ext xmlns:c16="http://schemas.microsoft.com/office/drawing/2014/chart" uri="{C3380CC4-5D6E-409C-BE32-E72D297353CC}">
              <c16:uniqueId val="{00000003-F773-DA47-A625-822A5553757E}"/>
            </c:ext>
          </c:extLst>
        </c:ser>
        <c:dLbls>
          <c:showLegendKey val="0"/>
          <c:showVal val="0"/>
          <c:showCatName val="0"/>
          <c:showSerName val="0"/>
          <c:showPercent val="0"/>
          <c:showBubbleSize val="0"/>
        </c:dLbls>
        <c:axId val="434830960"/>
        <c:axId val="251394192"/>
      </c:scatterChart>
      <c:valAx>
        <c:axId val="434830960"/>
        <c:scaling>
          <c:orientation val="minMax"/>
        </c:scaling>
        <c:delete val="0"/>
        <c:axPos val="b"/>
        <c:title>
          <c:tx>
            <c:rich>
              <a:bodyPr/>
              <a:lstStyle/>
              <a:p>
                <a:pPr>
                  <a:defRPr sz="1000" b="1" i="0" u="none" strike="noStrike" baseline="0">
                    <a:solidFill>
                      <a:srgbClr val="000000"/>
                    </a:solidFill>
                    <a:latin typeface="Arial" panose="020B0604020202020204" pitchFamily="34" charset="0"/>
                    <a:ea typeface="Segoe UI" panose="020B0502040204020203" pitchFamily="34" charset="0"/>
                    <a:cs typeface="Arial" panose="020B0604020202020204" pitchFamily="34" charset="0"/>
                  </a:defRPr>
                </a:pPr>
                <a:r>
                  <a:rPr lang="mn-MN" b="0">
                    <a:latin typeface="Arial" panose="020B0604020202020204" pitchFamily="34" charset="0"/>
                    <a:ea typeface="Segoe UI" panose="020B0502040204020203" pitchFamily="34" charset="0"/>
                    <a:cs typeface="Arial" panose="020B0604020202020204" pitchFamily="34" charset="0"/>
                  </a:rPr>
                  <a:t>Эрсдэл</a:t>
                </a:r>
                <a:r>
                  <a:rPr lang="en-US" b="0">
                    <a:latin typeface="Arial" panose="020B0604020202020204" pitchFamily="34" charset="0"/>
                    <a:ea typeface="Segoe UI" panose="020B0502040204020203" pitchFamily="34" charset="0"/>
                    <a:cs typeface="Arial" panose="020B0604020202020204" pitchFamily="34" charset="0"/>
                  </a:rPr>
                  <a:t> </a:t>
                </a:r>
              </a:p>
            </c:rich>
          </c:tx>
          <c:layout>
            <c:manualLayout>
              <c:xMode val="edge"/>
              <c:yMode val="edge"/>
              <c:x val="0.48434458278527687"/>
              <c:y val="0.90543782027246456"/>
            </c:manualLayout>
          </c:layout>
          <c:overlay val="0"/>
        </c:title>
        <c:numFmt formatCode="#,##0.00" sourceLinked="0"/>
        <c:majorTickMark val="in"/>
        <c:minorTickMark val="none"/>
        <c:tickLblPos val="nextTo"/>
        <c:spPr>
          <a:ln w="3175">
            <a:solidFill>
              <a:srgbClr val="B3B3B3"/>
            </a:solidFill>
            <a:prstDash val="solid"/>
          </a:ln>
        </c:spPr>
        <c:txPr>
          <a:bodyPr rot="0" vert="horz"/>
          <a:lstStyle/>
          <a:p>
            <a:pPr>
              <a:defRPr sz="950" b="0" i="0" u="none" strike="noStrike" baseline="0">
                <a:solidFill>
                  <a:srgbClr val="000000"/>
                </a:solidFill>
                <a:latin typeface="Segoe UI"/>
                <a:ea typeface="Segoe UI"/>
                <a:cs typeface="Segoe UI"/>
              </a:defRPr>
            </a:pPr>
            <a:endParaRPr lang="en-MN"/>
          </a:p>
        </c:txPr>
        <c:crossAx val="251394192"/>
        <c:crosses val="autoZero"/>
        <c:crossBetween val="midCat"/>
      </c:valAx>
      <c:valAx>
        <c:axId val="251394192"/>
        <c:scaling>
          <c:orientation val="minMax"/>
        </c:scaling>
        <c:delete val="0"/>
        <c:axPos val="l"/>
        <c:numFmt formatCode="#,##0.00" sourceLinked="0"/>
        <c:majorTickMark val="in"/>
        <c:minorTickMark val="none"/>
        <c:tickLblPos val="nextTo"/>
        <c:spPr>
          <a:ln w="3175">
            <a:solidFill>
              <a:srgbClr val="B3B3B3"/>
            </a:solidFill>
            <a:prstDash val="solid"/>
          </a:ln>
        </c:spPr>
        <c:txPr>
          <a:bodyPr rot="0" vert="horz"/>
          <a:lstStyle/>
          <a:p>
            <a:pPr>
              <a:defRPr sz="950" b="0" i="0" u="none" strike="noStrike" baseline="0">
                <a:solidFill>
                  <a:srgbClr val="000000"/>
                </a:solidFill>
                <a:latin typeface="Segoe UI" panose="020B0502040204020203" pitchFamily="34" charset="0"/>
                <a:ea typeface="Segoe UI" panose="020B0502040204020203" pitchFamily="34" charset="0"/>
                <a:cs typeface="Segoe UI" panose="020B0502040204020203" pitchFamily="34" charset="0"/>
              </a:defRPr>
            </a:pPr>
            <a:endParaRPr lang="en-MN"/>
          </a:p>
        </c:txPr>
        <c:crossAx val="434830960"/>
        <c:crossesAt val="0"/>
        <c:crossBetween val="midCat"/>
      </c:valAx>
      <c:spPr>
        <a:solidFill>
          <a:srgbClr val="FFFFFF"/>
        </a:solidFill>
        <a:ln w="3175">
          <a:solidFill>
            <a:srgbClr val="B3B3B3"/>
          </a:solidFill>
          <a:prstDash val="solid"/>
        </a:ln>
      </c:spPr>
    </c:plotArea>
    <c:plotVisOnly val="1"/>
    <c:dispBlanksAs val="gap"/>
    <c:showDLblsOverMax val="0"/>
  </c:chart>
  <c:spPr>
    <a:ln w="9525">
      <a:solidFill>
        <a:srgbClr val="B3B3B3"/>
      </a:solidFill>
    </a:ln>
  </c:spPr>
  <c:txPr>
    <a:bodyPr/>
    <a:lstStyle/>
    <a:p>
      <a:pPr>
        <a:defRPr sz="1000" b="0" i="0" u="none" strike="noStrike" baseline="0">
          <a:solidFill>
            <a:srgbClr val="000000"/>
          </a:solidFill>
          <a:latin typeface="Calibri"/>
          <a:ea typeface="Calibri"/>
          <a:cs typeface="Calibri"/>
        </a:defRPr>
      </a:pPr>
      <a:endParaRPr lang="en-MN"/>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Үлдэгдэл</c:v>
                </c:pt>
              </c:strCache>
            </c:strRef>
          </c:tx>
          <c:spPr>
            <a:solidFill>
              <a:srgbClr val="002060"/>
            </a:solidFill>
            <a:ln>
              <a:noFill/>
            </a:ln>
            <a:effectLst/>
          </c:spPr>
          <c:invertIfNegative val="0"/>
          <c:dLbls>
            <c:dLbl>
              <c:idx val="5"/>
              <c:tx>
                <c:rich>
                  <a:bodyPr/>
                  <a:lstStyle/>
                  <a:p>
                    <a:r>
                      <a:rPr lang="en-US"/>
                      <a:t>657.3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A88-FC4E-A4E3-13628733A1BE}"/>
                </c:ext>
              </c:extLst>
            </c:dLbl>
            <c:numFmt formatCode="#,##0.0" sourceLinked="0"/>
            <c:spPr>
              <a:solidFill>
                <a:schemeClr val="bg1"/>
              </a:solidFill>
              <a:ln>
                <a:solidFill>
                  <a:srgbClr val="00B050"/>
                </a:solidFill>
              </a:ln>
              <a:effectLst/>
            </c:spPr>
            <c:txPr>
              <a:bodyPr rot="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General</c:formatCode>
                <c:ptCount val="6"/>
                <c:pt idx="0">
                  <c:v>5488.8</c:v>
                </c:pt>
                <c:pt idx="1">
                  <c:v>3461.9</c:v>
                </c:pt>
                <c:pt idx="2">
                  <c:v>1564.7</c:v>
                </c:pt>
                <c:pt idx="3">
                  <c:v>1399.6</c:v>
                </c:pt>
                <c:pt idx="4">
                  <c:v>1136.5999999999999</c:v>
                </c:pt>
                <c:pt idx="5">
                  <c:v>643.20000000000005</c:v>
                </c:pt>
              </c:numCache>
            </c:numRef>
          </c:val>
          <c:extLst>
            <c:ext xmlns:c16="http://schemas.microsoft.com/office/drawing/2014/chart" uri="{C3380CC4-5D6E-409C-BE32-E72D297353CC}">
              <c16:uniqueId val="{00000001-BA88-FC4E-A4E3-13628733A1BE}"/>
            </c:ext>
          </c:extLst>
        </c:ser>
        <c:dLbls>
          <c:showLegendKey val="0"/>
          <c:showVal val="1"/>
          <c:showCatName val="0"/>
          <c:showSerName val="0"/>
          <c:showPercent val="0"/>
          <c:showBubbleSize val="0"/>
        </c:dLbls>
        <c:gapWidth val="86"/>
        <c:axId val="1765834191"/>
        <c:axId val="1765827951"/>
      </c:barChart>
      <c:lineChart>
        <c:grouping val="standard"/>
        <c:varyColors val="0"/>
        <c:ser>
          <c:idx val="1"/>
          <c:order val="1"/>
          <c:tx>
            <c:strRef>
              <c:f>Sheet1!$C$1</c:f>
              <c:strCache>
                <c:ptCount val="1"/>
                <c:pt idx="0">
                  <c:v>Засгийн газрын өрд эзлэх хувь</c:v>
                </c:pt>
              </c:strCache>
            </c:strRef>
          </c:tx>
          <c:spPr>
            <a:ln w="28575" cap="rnd">
              <a:solidFill>
                <a:schemeClr val="accent2"/>
              </a:solidFill>
              <a:round/>
            </a:ln>
            <a:effectLst/>
          </c:spPr>
          <c:marker>
            <c:symbol val="circle"/>
            <c:size val="5"/>
            <c:spPr>
              <a:solidFill>
                <a:schemeClr val="accent1"/>
              </a:solidFill>
              <a:ln w="9525">
                <a:solidFill>
                  <a:schemeClr val="accent2"/>
                </a:solidFill>
              </a:ln>
              <a:effectLst/>
            </c:spPr>
          </c:marker>
          <c:dLbls>
            <c:dLbl>
              <c:idx val="0"/>
              <c:layout>
                <c:manualLayout>
                  <c:x val="-4.5584536307961512E-2"/>
                  <c:y val="-9.71925384326959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88-FC4E-A4E3-13628733A1BE}"/>
                </c:ext>
              </c:extLst>
            </c:dLbl>
            <c:dLbl>
              <c:idx val="1"/>
              <c:layout>
                <c:manualLayout>
                  <c:x val="-5.7158610382035582E-2"/>
                  <c:y val="-8.92560304961880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88-FC4E-A4E3-13628733A1BE}"/>
                </c:ext>
              </c:extLst>
            </c:dLbl>
            <c:dLbl>
              <c:idx val="4"/>
              <c:layout>
                <c:manualLayout>
                  <c:x val="-4.6383238553514228E-2"/>
                  <c:y val="-6.47815898012748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88-FC4E-A4E3-13628733A1BE}"/>
                </c:ext>
              </c:extLst>
            </c:dLbl>
            <c:numFmt formatCode="0.0%" sourceLinked="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Sheet1!$C$2:$C$7</c:f>
              <c:numCache>
                <c:formatCode>0.00%</c:formatCode>
                <c:ptCount val="6"/>
                <c:pt idx="0">
                  <c:v>0.246</c:v>
                </c:pt>
                <c:pt idx="1">
                  <c:v>0.152</c:v>
                </c:pt>
                <c:pt idx="2" formatCode="0%">
                  <c:v>7.0000000000000007E-2</c:v>
                </c:pt>
                <c:pt idx="3">
                  <c:v>5.8000000000000003E-2</c:v>
                </c:pt>
                <c:pt idx="4">
                  <c:v>4.1000000000000002E-2</c:v>
                </c:pt>
                <c:pt idx="5">
                  <c:v>2.4E-2</c:v>
                </c:pt>
              </c:numCache>
            </c:numRef>
          </c:val>
          <c:smooth val="0"/>
          <c:extLst>
            <c:ext xmlns:c16="http://schemas.microsoft.com/office/drawing/2014/chart" uri="{C3380CC4-5D6E-409C-BE32-E72D297353CC}">
              <c16:uniqueId val="{00000005-BA88-FC4E-A4E3-13628733A1BE}"/>
            </c:ext>
          </c:extLst>
        </c:ser>
        <c:dLbls>
          <c:showLegendKey val="0"/>
          <c:showVal val="1"/>
          <c:showCatName val="0"/>
          <c:showSerName val="0"/>
          <c:showPercent val="0"/>
          <c:showBubbleSize val="0"/>
        </c:dLbls>
        <c:marker val="1"/>
        <c:smooth val="0"/>
        <c:axId val="1611417407"/>
        <c:axId val="1611414911"/>
      </c:lineChart>
      <c:catAx>
        <c:axId val="176583419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crossAx val="1765827951"/>
        <c:crosses val="autoZero"/>
        <c:auto val="1"/>
        <c:lblAlgn val="ctr"/>
        <c:lblOffset val="100"/>
        <c:noMultiLvlLbl val="0"/>
      </c:catAx>
      <c:valAx>
        <c:axId val="176582795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crossAx val="1765834191"/>
        <c:crosses val="autoZero"/>
        <c:crossBetween val="between"/>
      </c:valAx>
      <c:valAx>
        <c:axId val="1611414911"/>
        <c:scaling>
          <c:orientation val="minMax"/>
          <c:max val="0.30000000000000004"/>
          <c:min val="0"/>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crossAx val="1611417407"/>
        <c:crosses val="max"/>
        <c:crossBetween val="between"/>
        <c:majorUnit val="5.000000000000001E-2"/>
      </c:valAx>
      <c:catAx>
        <c:axId val="1611417407"/>
        <c:scaling>
          <c:orientation val="minMax"/>
        </c:scaling>
        <c:delete val="1"/>
        <c:axPos val="b"/>
        <c:numFmt formatCode="General" sourceLinked="1"/>
        <c:majorTickMark val="out"/>
        <c:minorTickMark val="none"/>
        <c:tickLblPos val="nextTo"/>
        <c:crossAx val="161141491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Arial" panose="020B0604020202020204" pitchFamily="34" charset="0"/>
          <a:cs typeface="Arial" panose="020B0604020202020204" pitchFamily="34" charset="0"/>
        </a:defRPr>
      </a:pPr>
      <a:endParaRPr lang="en-M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solidFill>
                <a:latin typeface="Arial" panose="020B0604020202020204" pitchFamily="34" charset="0"/>
                <a:ea typeface="+mn-ea"/>
                <a:cs typeface="Arial" panose="020B0604020202020204" pitchFamily="34" charset="0"/>
              </a:defRPr>
            </a:pPr>
            <a:r>
              <a:rPr lang="mn-MN"/>
              <a:t>Номад</a:t>
            </a:r>
            <a:r>
              <a:rPr lang="mn-MN" baseline="0"/>
              <a:t> төсөл</a:t>
            </a:r>
            <a:endParaRPr lang="en-US"/>
          </a:p>
        </c:rich>
      </c:tx>
      <c:layout>
        <c:manualLayout>
          <c:xMode val="edge"/>
          <c:yMode val="edge"/>
          <c:x val="0.3232129311990134"/>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MN"/>
        </a:p>
      </c:txPr>
    </c:title>
    <c:autoTitleDeleted val="0"/>
    <c:plotArea>
      <c:layout/>
      <c:barChart>
        <c:barDir val="col"/>
        <c:grouping val="clustered"/>
        <c:varyColors val="0"/>
        <c:ser>
          <c:idx val="0"/>
          <c:order val="0"/>
          <c:tx>
            <c:strRef>
              <c:f>Sheet3!$C$50</c:f>
              <c:strCache>
                <c:ptCount val="1"/>
                <c:pt idx="0">
                  <c:v>Мазаалай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Хувь</c:v>
              </c:pt>
            </c:strLit>
          </c:cat>
          <c:val>
            <c:numRef>
              <c:f>Sheet3!$D$50</c:f>
              <c:numCache>
                <c:formatCode>0.000%</c:formatCode>
                <c:ptCount val="1"/>
                <c:pt idx="0">
                  <c:v>0.10875</c:v>
                </c:pt>
              </c:numCache>
            </c:numRef>
          </c:val>
          <c:extLst>
            <c:ext xmlns:c16="http://schemas.microsoft.com/office/drawing/2014/chart" uri="{C3380CC4-5D6E-409C-BE32-E72D297353CC}">
              <c16:uniqueId val="{00000000-6FBA-194B-902A-5C078718DCAC}"/>
            </c:ext>
          </c:extLst>
        </c:ser>
        <c:ser>
          <c:idx val="1"/>
          <c:order val="1"/>
          <c:tx>
            <c:strRef>
              <c:f>Sheet3!$C$51</c:f>
              <c:strCache>
                <c:ptCount val="1"/>
                <c:pt idx="0">
                  <c:v>Чингис</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Хувь</c:v>
              </c:pt>
            </c:strLit>
          </c:cat>
          <c:val>
            <c:numRef>
              <c:f>Sheet3!$D$51</c:f>
              <c:numCache>
                <c:formatCode>0.000%</c:formatCode>
                <c:ptCount val="1"/>
                <c:pt idx="0">
                  <c:v>5.1249999999999997E-2</c:v>
                </c:pt>
              </c:numCache>
            </c:numRef>
          </c:val>
          <c:extLst>
            <c:ext xmlns:c16="http://schemas.microsoft.com/office/drawing/2014/chart" uri="{C3380CC4-5D6E-409C-BE32-E72D297353CC}">
              <c16:uniqueId val="{00000001-6FBA-194B-902A-5C078718DCAC}"/>
            </c:ext>
          </c:extLst>
        </c:ser>
        <c:ser>
          <c:idx val="2"/>
          <c:order val="2"/>
          <c:tx>
            <c:strRef>
              <c:f>Sheet3!$C$52</c:f>
              <c:strCache>
                <c:ptCount val="1"/>
                <c:pt idx="0">
                  <c:v>Номад</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Хувь</c:v>
              </c:pt>
            </c:strLit>
          </c:cat>
          <c:val>
            <c:numRef>
              <c:f>Sheet3!$D$52</c:f>
              <c:numCache>
                <c:formatCode>0.000%</c:formatCode>
                <c:ptCount val="1"/>
                <c:pt idx="0">
                  <c:v>5.1249999999999997E-2</c:v>
                </c:pt>
              </c:numCache>
            </c:numRef>
          </c:val>
          <c:extLst>
            <c:ext xmlns:c16="http://schemas.microsoft.com/office/drawing/2014/chart" uri="{C3380CC4-5D6E-409C-BE32-E72D297353CC}">
              <c16:uniqueId val="{00000002-6FBA-194B-902A-5C078718DCAC}"/>
            </c:ext>
          </c:extLst>
        </c:ser>
        <c:dLbls>
          <c:dLblPos val="outEnd"/>
          <c:showLegendKey val="0"/>
          <c:showVal val="1"/>
          <c:showCatName val="0"/>
          <c:showSerName val="0"/>
          <c:showPercent val="0"/>
          <c:showBubbleSize val="0"/>
        </c:dLbls>
        <c:gapWidth val="219"/>
        <c:overlap val="-27"/>
        <c:axId val="1409331200"/>
        <c:axId val="1409341600"/>
      </c:barChart>
      <c:catAx>
        <c:axId val="1409331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crossAx val="1409341600"/>
        <c:crosses val="autoZero"/>
        <c:auto val="1"/>
        <c:lblAlgn val="ctr"/>
        <c:lblOffset val="100"/>
        <c:noMultiLvlLbl val="0"/>
      </c:catAx>
      <c:valAx>
        <c:axId val="1409341600"/>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crossAx val="1409331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chemeClr val="tx1"/>
          </a:solidFill>
          <a:latin typeface="Arial" panose="020B0604020202020204" pitchFamily="34" charset="0"/>
          <a:cs typeface="Arial" panose="020B0604020202020204" pitchFamily="34" charset="0"/>
        </a:defRPr>
      </a:pPr>
      <a:endParaRPr lang="en-MN"/>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solidFill>
                <a:latin typeface="Arial" panose="020B0604020202020204" pitchFamily="34" charset="0"/>
                <a:ea typeface="+mn-ea"/>
                <a:cs typeface="Arial" panose="020B0604020202020204" pitchFamily="34" charset="0"/>
              </a:defRPr>
            </a:pPr>
            <a:r>
              <a:rPr lang="mn-MN"/>
              <a:t>Сенчири төсөл</a:t>
            </a:r>
            <a:endParaRPr lang="en-US"/>
          </a:p>
        </c:rich>
      </c:tx>
      <c:layout>
        <c:manualLayout>
          <c:xMode val="edge"/>
          <c:yMode val="edge"/>
          <c:x val="0.32091942148760333"/>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MN"/>
        </a:p>
      </c:txPr>
    </c:title>
    <c:autoTitleDeleted val="0"/>
    <c:plotArea>
      <c:layout/>
      <c:barChart>
        <c:barDir val="col"/>
        <c:grouping val="clustered"/>
        <c:varyColors val="0"/>
        <c:ser>
          <c:idx val="0"/>
          <c:order val="0"/>
          <c:tx>
            <c:strRef>
              <c:f>Sheet3!$E$29</c:f>
              <c:strCache>
                <c:ptCount val="1"/>
                <c:pt idx="0">
                  <c:v>Чингис 2022</c:v>
                </c:pt>
              </c:strCache>
            </c:strRef>
          </c:tx>
          <c:spPr>
            <a:solidFill>
              <a:schemeClr val="accent2"/>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EBE6-7F40-AF38-FFD3A4E3A227}"/>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Хувь</c:v>
              </c:pt>
            </c:strLit>
          </c:cat>
          <c:val>
            <c:numRef>
              <c:f>Sheet3!$F$29</c:f>
              <c:numCache>
                <c:formatCode>0.000%</c:formatCode>
                <c:ptCount val="1"/>
                <c:pt idx="0">
                  <c:v>5.1249999999999997E-2</c:v>
                </c:pt>
              </c:numCache>
            </c:numRef>
          </c:val>
          <c:extLst>
            <c:ext xmlns:c16="http://schemas.microsoft.com/office/drawing/2014/chart" uri="{C3380CC4-5D6E-409C-BE32-E72D297353CC}">
              <c16:uniqueId val="{00000002-EBE6-7F40-AF38-FFD3A4E3A227}"/>
            </c:ext>
          </c:extLst>
        </c:ser>
        <c:ser>
          <c:idx val="1"/>
          <c:order val="1"/>
          <c:tx>
            <c:strRef>
              <c:f>Sheet3!$E$30</c:f>
              <c:strCache>
                <c:ptCount val="1"/>
                <c:pt idx="0">
                  <c:v>Гэрэгэ 2023</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Хувь</c:v>
              </c:pt>
            </c:strLit>
          </c:cat>
          <c:val>
            <c:numRef>
              <c:f>Sheet3!$F$30</c:f>
              <c:numCache>
                <c:formatCode>0.000%</c:formatCode>
                <c:ptCount val="1"/>
                <c:pt idx="0">
                  <c:v>5.6250000000000001E-2</c:v>
                </c:pt>
              </c:numCache>
            </c:numRef>
          </c:val>
          <c:extLst>
            <c:ext xmlns:c16="http://schemas.microsoft.com/office/drawing/2014/chart" uri="{C3380CC4-5D6E-409C-BE32-E72D297353CC}">
              <c16:uniqueId val="{00000003-EBE6-7F40-AF38-FFD3A4E3A227}"/>
            </c:ext>
          </c:extLst>
        </c:ser>
        <c:ser>
          <c:idx val="2"/>
          <c:order val="2"/>
          <c:tx>
            <c:strRef>
              <c:f>Sheet3!$E$31</c:f>
              <c:strCache>
                <c:ptCount val="1"/>
                <c:pt idx="0">
                  <c:v>Сенчири-2031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Хувь</c:v>
              </c:pt>
            </c:strLit>
          </c:cat>
          <c:val>
            <c:numRef>
              <c:f>Sheet3!$F$31</c:f>
              <c:numCache>
                <c:formatCode>0.000%</c:formatCode>
                <c:ptCount val="1"/>
                <c:pt idx="0">
                  <c:v>4.4499999999999998E-2</c:v>
                </c:pt>
              </c:numCache>
            </c:numRef>
          </c:val>
          <c:extLst>
            <c:ext xmlns:c16="http://schemas.microsoft.com/office/drawing/2014/chart" uri="{C3380CC4-5D6E-409C-BE32-E72D297353CC}">
              <c16:uniqueId val="{00000004-EBE6-7F40-AF38-FFD3A4E3A227}"/>
            </c:ext>
          </c:extLst>
        </c:ser>
        <c:ser>
          <c:idx val="3"/>
          <c:order val="3"/>
          <c:tx>
            <c:strRef>
              <c:f>Sheet3!$E$32</c:f>
              <c:strCache>
                <c:ptCount val="1"/>
                <c:pt idx="0">
                  <c:v>Сенчири-2027</c:v>
                </c:pt>
              </c:strCache>
            </c:strRef>
          </c:tx>
          <c:spPr>
            <a:solidFill>
              <a:schemeClr val="bg2">
                <a:lumMod val="75000"/>
              </a:schemeClr>
            </a:solidFill>
            <a:ln>
              <a:noFill/>
            </a:ln>
            <a:effectLst/>
          </c:spPr>
          <c:invertIfNegative val="0"/>
          <c:dPt>
            <c:idx val="0"/>
            <c:invertIfNegative val="0"/>
            <c:bubble3D val="0"/>
            <c:spPr>
              <a:solidFill>
                <a:schemeClr val="bg2">
                  <a:lumMod val="75000"/>
                </a:schemeClr>
              </a:solidFill>
              <a:ln>
                <a:noFill/>
              </a:ln>
              <a:effectLst/>
            </c:spPr>
            <c:extLst>
              <c:ext xmlns:c16="http://schemas.microsoft.com/office/drawing/2014/chart" uri="{C3380CC4-5D6E-409C-BE32-E72D297353CC}">
                <c16:uniqueId val="{00000006-EBE6-7F40-AF38-FFD3A4E3A227}"/>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Хувь</c:v>
              </c:pt>
            </c:strLit>
          </c:cat>
          <c:val>
            <c:numRef>
              <c:f>Sheet3!$F$32</c:f>
              <c:numCache>
                <c:formatCode>0.000%</c:formatCode>
                <c:ptCount val="1"/>
                <c:pt idx="0">
                  <c:v>3.5000000000000003E-2</c:v>
                </c:pt>
              </c:numCache>
            </c:numRef>
          </c:val>
          <c:extLst>
            <c:ext xmlns:c16="http://schemas.microsoft.com/office/drawing/2014/chart" uri="{C3380CC4-5D6E-409C-BE32-E72D297353CC}">
              <c16:uniqueId val="{00000007-EBE6-7F40-AF38-FFD3A4E3A227}"/>
            </c:ext>
          </c:extLst>
        </c:ser>
        <c:dLbls>
          <c:dLblPos val="outEnd"/>
          <c:showLegendKey val="0"/>
          <c:showVal val="1"/>
          <c:showCatName val="0"/>
          <c:showSerName val="0"/>
          <c:showPercent val="0"/>
          <c:showBubbleSize val="0"/>
        </c:dLbls>
        <c:gapWidth val="219"/>
        <c:overlap val="-27"/>
        <c:axId val="1547594016"/>
        <c:axId val="1547583200"/>
      </c:barChart>
      <c:catAx>
        <c:axId val="154759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crossAx val="1547583200"/>
        <c:crosses val="autoZero"/>
        <c:auto val="0"/>
        <c:lblAlgn val="ctr"/>
        <c:lblOffset val="100"/>
        <c:noMultiLvlLbl val="0"/>
      </c:catAx>
      <c:valAx>
        <c:axId val="1547583200"/>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crossAx val="154759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chemeClr val="tx1"/>
          </a:solidFill>
          <a:latin typeface="Arial" panose="020B0604020202020204" pitchFamily="34" charset="0"/>
          <a:cs typeface="Arial" panose="020B0604020202020204" pitchFamily="34" charset="0"/>
        </a:defRPr>
      </a:pPr>
      <a:endParaRPr lang="en-MN"/>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14432199859591E-2"/>
          <c:y val="0.1053278767597557"/>
          <c:w val="0.92147672023793914"/>
          <c:h val="0.7152268844151084"/>
        </c:manualLayout>
      </c:layout>
      <c:lineChart>
        <c:grouping val="standard"/>
        <c:varyColors val="0"/>
        <c:ser>
          <c:idx val="0"/>
          <c:order val="0"/>
          <c:tx>
            <c:strRef>
              <c:f>'Graph (2)'!$B$4</c:f>
              <c:strCache>
                <c:ptCount val="1"/>
                <c:pt idx="0">
                  <c:v>Мүүдис</c:v>
                </c:pt>
              </c:strCache>
            </c:strRef>
          </c:tx>
          <c:spPr>
            <a:ln w="28575" cap="rnd">
              <a:solidFill>
                <a:schemeClr val="accent1"/>
              </a:solidFill>
              <a:round/>
            </a:ln>
            <a:effectLst/>
          </c:spPr>
          <c:marker>
            <c:symbol val="none"/>
          </c:marker>
          <c:dPt>
            <c:idx val="0"/>
            <c:marker>
              <c:symbol val="circle"/>
              <c:size val="7"/>
              <c:spPr>
                <a:solidFill>
                  <a:schemeClr val="accent1"/>
                </a:solidFill>
                <a:ln w="9525">
                  <a:solidFill>
                    <a:schemeClr val="accent1"/>
                  </a:solidFill>
                </a:ln>
                <a:effectLst/>
              </c:spPr>
            </c:marker>
            <c:bubble3D val="0"/>
            <c:extLst>
              <c:ext xmlns:c16="http://schemas.microsoft.com/office/drawing/2014/chart" uri="{C3380CC4-5D6E-409C-BE32-E72D297353CC}">
                <c16:uniqueId val="{00000000-3207-034B-9F99-2EB0FF7B613C}"/>
              </c:ext>
            </c:extLst>
          </c:dPt>
          <c:dPt>
            <c:idx val="3"/>
            <c:marker>
              <c:symbol val="circle"/>
              <c:size val="7"/>
              <c:spPr>
                <a:noFill/>
                <a:ln w="9525">
                  <a:noFill/>
                </a:ln>
                <a:effectLst/>
              </c:spPr>
            </c:marker>
            <c:bubble3D val="0"/>
            <c:extLst>
              <c:ext xmlns:c16="http://schemas.microsoft.com/office/drawing/2014/chart" uri="{C3380CC4-5D6E-409C-BE32-E72D297353CC}">
                <c16:uniqueId val="{00000001-3207-034B-9F99-2EB0FF7B613C}"/>
              </c:ext>
            </c:extLst>
          </c:dPt>
          <c:dPt>
            <c:idx val="7"/>
            <c:marker>
              <c:symbol val="none"/>
            </c:marker>
            <c:bubble3D val="0"/>
            <c:extLst>
              <c:ext xmlns:c16="http://schemas.microsoft.com/office/drawing/2014/chart" uri="{C3380CC4-5D6E-409C-BE32-E72D297353CC}">
                <c16:uniqueId val="{00000002-3207-034B-9F99-2EB0FF7B613C}"/>
              </c:ext>
            </c:extLst>
          </c:dPt>
          <c:dPt>
            <c:idx val="11"/>
            <c:marker>
              <c:symbol val="none"/>
            </c:marker>
            <c:bubble3D val="0"/>
            <c:extLst>
              <c:ext xmlns:c16="http://schemas.microsoft.com/office/drawing/2014/chart" uri="{C3380CC4-5D6E-409C-BE32-E72D297353CC}">
                <c16:uniqueId val="{00000003-3207-034B-9F99-2EB0FF7B613C}"/>
              </c:ext>
            </c:extLst>
          </c:dPt>
          <c:dPt>
            <c:idx val="14"/>
            <c:marker>
              <c:symbol val="circle"/>
              <c:size val="7"/>
              <c:spPr>
                <a:solidFill>
                  <a:schemeClr val="accent1"/>
                </a:solidFill>
                <a:ln w="9525">
                  <a:solidFill>
                    <a:schemeClr val="accent1"/>
                  </a:solidFill>
                </a:ln>
                <a:effectLst/>
              </c:spPr>
            </c:marker>
            <c:bubble3D val="0"/>
            <c:extLst>
              <c:ext xmlns:c16="http://schemas.microsoft.com/office/drawing/2014/chart" uri="{C3380CC4-5D6E-409C-BE32-E72D297353CC}">
                <c16:uniqueId val="{00000004-3207-034B-9F99-2EB0FF7B613C}"/>
              </c:ext>
            </c:extLst>
          </c:dPt>
          <c:dPt>
            <c:idx val="15"/>
            <c:marker>
              <c:symbol val="none"/>
            </c:marker>
            <c:bubble3D val="0"/>
            <c:extLst>
              <c:ext xmlns:c16="http://schemas.microsoft.com/office/drawing/2014/chart" uri="{C3380CC4-5D6E-409C-BE32-E72D297353CC}">
                <c16:uniqueId val="{00000005-3207-034B-9F99-2EB0FF7B613C}"/>
              </c:ext>
            </c:extLst>
          </c:dPt>
          <c:dPt>
            <c:idx val="17"/>
            <c:marker>
              <c:symbol val="circle"/>
              <c:size val="7"/>
              <c:spPr>
                <a:solidFill>
                  <a:schemeClr val="accent1"/>
                </a:solidFill>
                <a:ln w="9525">
                  <a:solidFill>
                    <a:schemeClr val="accent1"/>
                  </a:solidFill>
                </a:ln>
                <a:effectLst/>
              </c:spPr>
            </c:marker>
            <c:bubble3D val="0"/>
            <c:extLst>
              <c:ext xmlns:c16="http://schemas.microsoft.com/office/drawing/2014/chart" uri="{C3380CC4-5D6E-409C-BE32-E72D297353CC}">
                <c16:uniqueId val="{00000006-3207-034B-9F99-2EB0FF7B613C}"/>
              </c:ext>
            </c:extLst>
          </c:dPt>
          <c:dPt>
            <c:idx val="19"/>
            <c:marker>
              <c:symbol val="none"/>
            </c:marker>
            <c:bubble3D val="0"/>
            <c:extLst>
              <c:ext xmlns:c16="http://schemas.microsoft.com/office/drawing/2014/chart" uri="{C3380CC4-5D6E-409C-BE32-E72D297353CC}">
                <c16:uniqueId val="{00000007-3207-034B-9F99-2EB0FF7B613C}"/>
              </c:ext>
            </c:extLst>
          </c:dPt>
          <c:dPt>
            <c:idx val="21"/>
            <c:marker>
              <c:symbol val="circle"/>
              <c:size val="7"/>
              <c:spPr>
                <a:noFill/>
                <a:ln w="9525">
                  <a:noFill/>
                </a:ln>
                <a:effectLst/>
              </c:spPr>
            </c:marker>
            <c:bubble3D val="0"/>
            <c:extLst>
              <c:ext xmlns:c16="http://schemas.microsoft.com/office/drawing/2014/chart" uri="{C3380CC4-5D6E-409C-BE32-E72D297353CC}">
                <c16:uniqueId val="{00000008-3207-034B-9F99-2EB0FF7B613C}"/>
              </c:ext>
            </c:extLst>
          </c:dPt>
          <c:dPt>
            <c:idx val="22"/>
            <c:marker>
              <c:symbol val="circle"/>
              <c:size val="7"/>
              <c:spPr>
                <a:noFill/>
                <a:ln w="9525">
                  <a:noFill/>
                </a:ln>
                <a:effectLst/>
              </c:spPr>
            </c:marker>
            <c:bubble3D val="0"/>
            <c:extLst>
              <c:ext xmlns:c16="http://schemas.microsoft.com/office/drawing/2014/chart" uri="{C3380CC4-5D6E-409C-BE32-E72D297353CC}">
                <c16:uniqueId val="{00000009-3207-034B-9F99-2EB0FF7B613C}"/>
              </c:ext>
            </c:extLst>
          </c:dPt>
          <c:dPt>
            <c:idx val="26"/>
            <c:marker>
              <c:symbol val="none"/>
            </c:marker>
            <c:bubble3D val="0"/>
            <c:extLst>
              <c:ext xmlns:c16="http://schemas.microsoft.com/office/drawing/2014/chart" uri="{C3380CC4-5D6E-409C-BE32-E72D297353CC}">
                <c16:uniqueId val="{0000000A-3207-034B-9F99-2EB0FF7B613C}"/>
              </c:ext>
            </c:extLst>
          </c:dPt>
          <c:dPt>
            <c:idx val="28"/>
            <c:marker>
              <c:symbol val="none"/>
            </c:marker>
            <c:bubble3D val="0"/>
            <c:extLst>
              <c:ext xmlns:c16="http://schemas.microsoft.com/office/drawing/2014/chart" uri="{C3380CC4-5D6E-409C-BE32-E72D297353CC}">
                <c16:uniqueId val="{0000000B-3207-034B-9F99-2EB0FF7B613C}"/>
              </c:ext>
            </c:extLst>
          </c:dPt>
          <c:dPt>
            <c:idx val="29"/>
            <c:marker>
              <c:symbol val="none"/>
            </c:marker>
            <c:bubble3D val="0"/>
            <c:extLst>
              <c:ext xmlns:c16="http://schemas.microsoft.com/office/drawing/2014/chart" uri="{C3380CC4-5D6E-409C-BE32-E72D297353CC}">
                <c16:uniqueId val="{0000000C-3207-034B-9F99-2EB0FF7B613C}"/>
              </c:ext>
            </c:extLst>
          </c:dPt>
          <c:dPt>
            <c:idx val="30"/>
            <c:marker>
              <c:symbol val="circle"/>
              <c:size val="7"/>
              <c:spPr>
                <a:noFill/>
                <a:ln w="9525">
                  <a:noFill/>
                </a:ln>
                <a:effectLst/>
              </c:spPr>
            </c:marker>
            <c:bubble3D val="0"/>
            <c:extLst>
              <c:ext xmlns:c16="http://schemas.microsoft.com/office/drawing/2014/chart" uri="{C3380CC4-5D6E-409C-BE32-E72D297353CC}">
                <c16:uniqueId val="{0000000D-3207-034B-9F99-2EB0FF7B613C}"/>
              </c:ext>
            </c:extLst>
          </c:dPt>
          <c:dPt>
            <c:idx val="31"/>
            <c:marker>
              <c:symbol val="circle"/>
              <c:size val="7"/>
              <c:spPr>
                <a:noFill/>
                <a:ln w="9525">
                  <a:noFill/>
                </a:ln>
                <a:effectLst/>
              </c:spPr>
            </c:marker>
            <c:bubble3D val="0"/>
            <c:extLst>
              <c:ext xmlns:c16="http://schemas.microsoft.com/office/drawing/2014/chart" uri="{C3380CC4-5D6E-409C-BE32-E72D297353CC}">
                <c16:uniqueId val="{0000000E-3207-034B-9F99-2EB0FF7B613C}"/>
              </c:ext>
            </c:extLst>
          </c:dPt>
          <c:dPt>
            <c:idx val="34"/>
            <c:marker>
              <c:symbol val="none"/>
            </c:marker>
            <c:bubble3D val="0"/>
            <c:extLst>
              <c:ext xmlns:c16="http://schemas.microsoft.com/office/drawing/2014/chart" uri="{C3380CC4-5D6E-409C-BE32-E72D297353CC}">
                <c16:uniqueId val="{0000000F-3207-034B-9F99-2EB0FF7B613C}"/>
              </c:ext>
            </c:extLst>
          </c:dPt>
          <c:dPt>
            <c:idx val="35"/>
            <c:marker>
              <c:symbol val="circle"/>
              <c:size val="7"/>
              <c:spPr>
                <a:noFill/>
                <a:ln w="9525">
                  <a:noFill/>
                </a:ln>
                <a:effectLst/>
              </c:spPr>
            </c:marker>
            <c:bubble3D val="0"/>
            <c:extLst>
              <c:ext xmlns:c16="http://schemas.microsoft.com/office/drawing/2014/chart" uri="{C3380CC4-5D6E-409C-BE32-E72D297353CC}">
                <c16:uniqueId val="{00000010-3207-034B-9F99-2EB0FF7B613C}"/>
              </c:ext>
            </c:extLst>
          </c:dPt>
          <c:dPt>
            <c:idx val="43"/>
            <c:marker>
              <c:symbol val="circle"/>
              <c:size val="7"/>
              <c:spPr>
                <a:noFill/>
                <a:ln w="0">
                  <a:noFill/>
                </a:ln>
                <a:effectLst/>
              </c:spPr>
            </c:marker>
            <c:bubble3D val="0"/>
            <c:extLst>
              <c:ext xmlns:c16="http://schemas.microsoft.com/office/drawing/2014/chart" uri="{C3380CC4-5D6E-409C-BE32-E72D297353CC}">
                <c16:uniqueId val="{00000011-3207-034B-9F99-2EB0FF7B613C}"/>
              </c:ext>
            </c:extLst>
          </c:dPt>
          <c:dPt>
            <c:idx val="44"/>
            <c:marker>
              <c:symbol val="circle"/>
              <c:size val="5"/>
              <c:spPr>
                <a:solidFill>
                  <a:schemeClr val="accent1"/>
                </a:solidFill>
                <a:ln w="28575">
                  <a:solidFill>
                    <a:schemeClr val="accent1"/>
                  </a:solidFill>
                </a:ln>
                <a:effectLst/>
              </c:spPr>
            </c:marker>
            <c:bubble3D val="0"/>
            <c:spPr>
              <a:ln w="28575" cap="rnd">
                <a:solidFill>
                  <a:schemeClr val="accent1"/>
                </a:solidFill>
                <a:round/>
              </a:ln>
              <a:effectLst/>
            </c:spPr>
            <c:extLst>
              <c:ext xmlns:c16="http://schemas.microsoft.com/office/drawing/2014/chart" uri="{C3380CC4-5D6E-409C-BE32-E72D297353CC}">
                <c16:uniqueId val="{00000013-3207-034B-9F99-2EB0FF7B613C}"/>
              </c:ext>
            </c:extLst>
          </c:dPt>
          <c:dLbls>
            <c:dLbl>
              <c:idx val="1"/>
              <c:layout>
                <c:manualLayout>
                  <c:x val="-5.4122602277766392E-2"/>
                  <c:y val="2.4246482995972964E-2"/>
                </c:manualLayout>
              </c:layout>
              <c:tx>
                <c:rich>
                  <a:bodyPr/>
                  <a:lstStyle/>
                  <a:p>
                    <a:r>
                      <a:rPr lang="en-US"/>
                      <a:t>Caa1 (=)</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14-3207-034B-9F99-2EB0FF7B613C}"/>
                </c:ext>
              </c:extLst>
            </c:dLbl>
            <c:dLbl>
              <c:idx val="17"/>
              <c:layout>
                <c:manualLayout>
                  <c:x val="-8.2703977682332813E-2"/>
                  <c:y val="7.755324898767639E-2"/>
                </c:manualLayout>
              </c:layout>
              <c:tx>
                <c:rich>
                  <a:bodyPr/>
                  <a:lstStyle/>
                  <a:p>
                    <a:r>
                      <a:rPr lang="en-US"/>
                      <a:t>B3</a:t>
                    </a:r>
                    <a:r>
                      <a:rPr lang="en-US" baseline="0"/>
                      <a:t> (-)</a:t>
                    </a:r>
                    <a:endParaRPr lang="en-US"/>
                  </a:p>
                </c:rich>
              </c:tx>
              <c:showLegendKey val="0"/>
              <c:showVal val="1"/>
              <c:showCatName val="0"/>
              <c:showSerName val="0"/>
              <c:showPercent val="0"/>
              <c:showBubbleSize val="0"/>
              <c:extLst>
                <c:ext xmlns:c15="http://schemas.microsoft.com/office/drawing/2012/chart" uri="{CE6537A1-D6FC-4f65-9D91-7224C49458BB}">
                  <c15:layout>
                    <c:manualLayout>
                      <c:w val="8.0920008462447041E-2"/>
                      <c:h val="5.7873265433435302E-2"/>
                    </c:manualLayout>
                  </c15:layout>
                  <c15:showDataLabelsRange val="0"/>
                </c:ext>
                <c:ext xmlns:c16="http://schemas.microsoft.com/office/drawing/2014/chart" uri="{C3380CC4-5D6E-409C-BE32-E72D297353CC}">
                  <c16:uniqueId val="{00000006-3207-034B-9F99-2EB0FF7B613C}"/>
                </c:ext>
              </c:extLst>
            </c:dLbl>
            <c:dLbl>
              <c:idx val="21"/>
              <c:layout>
                <c:manualLayout>
                  <c:x val="-3.47985347985348E-2"/>
                  <c:y val="-1.579778830963665E-2"/>
                </c:manualLayout>
              </c:layout>
              <c:tx>
                <c:rich>
                  <a:bodyPr/>
                  <a:lstStyle/>
                  <a:p>
                    <a:r>
                      <a:rPr lang="mn-MN"/>
                      <a:t>В1 сөрөг</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08-3207-034B-9F99-2EB0FF7B613C}"/>
                </c:ext>
              </c:extLst>
            </c:dLbl>
            <c:dLbl>
              <c:idx val="22"/>
              <c:layout>
                <c:manualLayout>
                  <c:x val="-3.8461538461538526E-2"/>
                  <c:y val="1.0531858873091004E-2"/>
                </c:manualLayout>
              </c:layout>
              <c:tx>
                <c:rich>
                  <a:bodyPr/>
                  <a:lstStyle/>
                  <a:p>
                    <a:r>
                      <a:rPr lang="mn-MN"/>
                      <a:t>В2</a:t>
                    </a:r>
                    <a:r>
                      <a:rPr lang="mn-MN" baseline="0"/>
                      <a:t> сөрөг</a:t>
                    </a:r>
                    <a:endParaRPr lang="mn-MN"/>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09-3207-034B-9F99-2EB0FF7B613C}"/>
                </c:ext>
              </c:extLst>
            </c:dLbl>
            <c:dLbl>
              <c:idx val="30"/>
              <c:layout>
                <c:manualLayout>
                  <c:x val="-3.8461538461538464E-2"/>
                  <c:y val="1.579778830963665E-2"/>
                </c:manualLayout>
              </c:layout>
              <c:tx>
                <c:rich>
                  <a:bodyPr/>
                  <a:lstStyle/>
                  <a:p>
                    <a:r>
                      <a:rPr lang="az-Cyrl-AZ"/>
                      <a:t>Саа1</a:t>
                    </a:r>
                    <a:r>
                      <a:rPr lang="az-Cyrl-AZ" baseline="0"/>
                      <a:t> тогтвортой</a:t>
                    </a:r>
                    <a:endParaRPr lang="az-Cyrl-AZ"/>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0D-3207-034B-9F99-2EB0FF7B613C}"/>
                </c:ext>
              </c:extLst>
            </c:dLbl>
            <c:dLbl>
              <c:idx val="35"/>
              <c:layout>
                <c:manualLayout>
                  <c:x val="-4.3956043956043959E-2"/>
                  <c:y val="1.8430753027909426E-2"/>
                </c:manualLayout>
              </c:layout>
              <c:tx>
                <c:rich>
                  <a:bodyPr/>
                  <a:lstStyle/>
                  <a:p>
                    <a:r>
                      <a:rPr lang="az-Cyrl-AZ"/>
                      <a:t>В3</a:t>
                    </a:r>
                    <a:r>
                      <a:rPr lang="az-Cyrl-AZ" baseline="0"/>
                      <a:t> тогтвортой</a:t>
                    </a:r>
                    <a:endParaRPr lang="az-Cyrl-AZ"/>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3207-034B-9F99-2EB0FF7B613C}"/>
                </c:ext>
              </c:extLst>
            </c:dLbl>
            <c:dLbl>
              <c:idx val="44"/>
              <c:layout>
                <c:manualLayout>
                  <c:x val="-2.014652014652028E-2"/>
                  <c:y val="-3.7936267071320182E-2"/>
                </c:manualLayout>
              </c:layout>
              <c:tx>
                <c:rich>
                  <a:bodyPr/>
                  <a:lstStyle/>
                  <a:p>
                    <a:r>
                      <a:rPr lang="az-Cyrl-AZ" sz="900" b="0" i="0" u="none" strike="noStrike" kern="1200" baseline="0">
                        <a:solidFill>
                          <a:sysClr val="windowText" lastClr="000000">
                            <a:lumMod val="75000"/>
                            <a:lumOff val="25000"/>
                          </a:sysClr>
                        </a:solidFill>
                        <a:latin typeface="Arial" panose="020B0604020202020204" pitchFamily="34" charset="0"/>
                        <a:cs typeface="Arial" panose="020B0604020202020204" pitchFamily="34" charset="0"/>
                      </a:rPr>
                      <a:t>В3 сөрөг</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3207-034B-9F99-2EB0FF7B613C}"/>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MN"/>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'Graph (2)'!$A$35:$A$55</c:f>
              <c:strCache>
                <c:ptCount val="21"/>
                <c:pt idx="0">
                  <c:v>2016.IV</c:v>
                </c:pt>
                <c:pt idx="1">
                  <c:v>2017.I</c:v>
                </c:pt>
                <c:pt idx="2">
                  <c:v>2017.II</c:v>
                </c:pt>
                <c:pt idx="3">
                  <c:v>2017.III</c:v>
                </c:pt>
                <c:pt idx="4">
                  <c:v>2017.IV</c:v>
                </c:pt>
                <c:pt idx="5">
                  <c:v>2018.I</c:v>
                </c:pt>
                <c:pt idx="6">
                  <c:v>2018.II</c:v>
                </c:pt>
                <c:pt idx="7">
                  <c:v>2018.III</c:v>
                </c:pt>
                <c:pt idx="8">
                  <c:v>2018.IV</c:v>
                </c:pt>
                <c:pt idx="9">
                  <c:v>2019.I</c:v>
                </c:pt>
                <c:pt idx="10">
                  <c:v>2019.II</c:v>
                </c:pt>
                <c:pt idx="11">
                  <c:v>2019.III</c:v>
                </c:pt>
                <c:pt idx="12">
                  <c:v>2019.IV</c:v>
                </c:pt>
                <c:pt idx="13">
                  <c:v>2020.I</c:v>
                </c:pt>
                <c:pt idx="14">
                  <c:v>2020.II</c:v>
                </c:pt>
                <c:pt idx="15">
                  <c:v>2020.III</c:v>
                </c:pt>
                <c:pt idx="16">
                  <c:v>2020.IV</c:v>
                </c:pt>
                <c:pt idx="17">
                  <c:v>2021.I</c:v>
                </c:pt>
                <c:pt idx="18">
                  <c:v>2021.II</c:v>
                </c:pt>
                <c:pt idx="19">
                  <c:v>2021.III</c:v>
                </c:pt>
                <c:pt idx="20">
                  <c:v>2021.IV</c:v>
                </c:pt>
              </c:strCache>
              <c:extLst/>
            </c:strRef>
          </c:cat>
          <c:val>
            <c:numRef>
              <c:f>'Graph (2)'!$B$35:$B$55</c:f>
              <c:numCache>
                <c:formatCode>General</c:formatCode>
                <c:ptCount val="21"/>
                <c:pt idx="0">
                  <c:v>2</c:v>
                </c:pt>
                <c:pt idx="1">
                  <c:v>2</c:v>
                </c:pt>
                <c:pt idx="2" formatCode="0.0">
                  <c:v>2</c:v>
                </c:pt>
                <c:pt idx="3" formatCode="0.0">
                  <c:v>2</c:v>
                </c:pt>
                <c:pt idx="4" formatCode="0.0">
                  <c:v>2</c:v>
                </c:pt>
                <c:pt idx="5">
                  <c:v>5</c:v>
                </c:pt>
                <c:pt idx="6">
                  <c:v>5</c:v>
                </c:pt>
                <c:pt idx="7">
                  <c:v>5</c:v>
                </c:pt>
                <c:pt idx="8">
                  <c:v>5</c:v>
                </c:pt>
                <c:pt idx="9">
                  <c:v>5</c:v>
                </c:pt>
                <c:pt idx="10">
                  <c:v>5</c:v>
                </c:pt>
                <c:pt idx="11">
                  <c:v>5</c:v>
                </c:pt>
                <c:pt idx="12">
                  <c:v>5</c:v>
                </c:pt>
                <c:pt idx="13">
                  <c:v>5</c:v>
                </c:pt>
                <c:pt idx="14">
                  <c:v>5</c:v>
                </c:pt>
                <c:pt idx="15">
                  <c:v>5</c:v>
                </c:pt>
                <c:pt idx="16">
                  <c:v>5</c:v>
                </c:pt>
                <c:pt idx="17">
                  <c:v>5</c:v>
                </c:pt>
                <c:pt idx="18">
                  <c:v>5</c:v>
                </c:pt>
                <c:pt idx="19">
                  <c:v>5</c:v>
                </c:pt>
                <c:pt idx="20">
                  <c:v>5</c:v>
                </c:pt>
              </c:numCache>
              <c:extLst/>
            </c:numRef>
          </c:val>
          <c:smooth val="0"/>
          <c:extLst>
            <c:ext xmlns:c16="http://schemas.microsoft.com/office/drawing/2014/chart" uri="{C3380CC4-5D6E-409C-BE32-E72D297353CC}">
              <c16:uniqueId val="{00000015-3207-034B-9F99-2EB0FF7B613C}"/>
            </c:ext>
          </c:extLst>
        </c:ser>
        <c:ser>
          <c:idx val="1"/>
          <c:order val="1"/>
          <c:tx>
            <c:strRef>
              <c:f>'Graph (2)'!$C$4</c:f>
              <c:strCache>
                <c:ptCount val="1"/>
                <c:pt idx="0">
                  <c:v>Фитч</c:v>
                </c:pt>
              </c:strCache>
            </c:strRef>
          </c:tx>
          <c:spPr>
            <a:ln w="28575" cap="rnd">
              <a:solidFill>
                <a:schemeClr val="accent2"/>
              </a:solidFill>
              <a:prstDash val="solid"/>
              <a:round/>
            </a:ln>
            <a:effectLst/>
          </c:spPr>
          <c:marker>
            <c:symbol val="none"/>
          </c:marker>
          <c:dPt>
            <c:idx val="3"/>
            <c:marker>
              <c:symbol val="none"/>
            </c:marker>
            <c:bubble3D val="0"/>
            <c:extLst>
              <c:ext xmlns:c16="http://schemas.microsoft.com/office/drawing/2014/chart" uri="{C3380CC4-5D6E-409C-BE32-E72D297353CC}">
                <c16:uniqueId val="{00000016-3207-034B-9F99-2EB0FF7B613C}"/>
              </c:ext>
            </c:extLst>
          </c:dPt>
          <c:dPt>
            <c:idx val="4"/>
            <c:marker>
              <c:symbol val="square"/>
              <c:size val="7"/>
              <c:spPr>
                <a:solidFill>
                  <a:schemeClr val="accent2"/>
                </a:solidFill>
                <a:ln w="9525">
                  <a:solidFill>
                    <a:schemeClr val="accent2"/>
                  </a:solidFill>
                </a:ln>
                <a:effectLst/>
              </c:spPr>
            </c:marker>
            <c:bubble3D val="0"/>
            <c:extLst>
              <c:ext xmlns:c16="http://schemas.microsoft.com/office/drawing/2014/chart" uri="{C3380CC4-5D6E-409C-BE32-E72D297353CC}">
                <c16:uniqueId val="{00000017-3207-034B-9F99-2EB0FF7B613C}"/>
              </c:ext>
            </c:extLst>
          </c:dPt>
          <c:dPt>
            <c:idx val="7"/>
            <c:marker>
              <c:symbol val="square"/>
              <c:size val="7"/>
              <c:spPr>
                <a:solidFill>
                  <a:schemeClr val="accent2"/>
                </a:solidFill>
                <a:ln w="9525">
                  <a:solidFill>
                    <a:schemeClr val="accent2"/>
                  </a:solidFill>
                </a:ln>
                <a:effectLst/>
              </c:spPr>
            </c:marker>
            <c:bubble3D val="0"/>
            <c:extLst>
              <c:ext xmlns:c16="http://schemas.microsoft.com/office/drawing/2014/chart" uri="{C3380CC4-5D6E-409C-BE32-E72D297353CC}">
                <c16:uniqueId val="{00000018-3207-034B-9F99-2EB0FF7B613C}"/>
              </c:ext>
            </c:extLst>
          </c:dPt>
          <c:dPt>
            <c:idx val="11"/>
            <c:marker>
              <c:symbol val="none"/>
            </c:marker>
            <c:bubble3D val="0"/>
            <c:extLst>
              <c:ext xmlns:c16="http://schemas.microsoft.com/office/drawing/2014/chart" uri="{C3380CC4-5D6E-409C-BE32-E72D297353CC}">
                <c16:uniqueId val="{00000019-3207-034B-9F99-2EB0FF7B613C}"/>
              </c:ext>
            </c:extLst>
          </c:dPt>
          <c:dPt>
            <c:idx val="15"/>
            <c:marker>
              <c:symbol val="none"/>
            </c:marker>
            <c:bubble3D val="0"/>
            <c:extLst>
              <c:ext xmlns:c16="http://schemas.microsoft.com/office/drawing/2014/chart" uri="{C3380CC4-5D6E-409C-BE32-E72D297353CC}">
                <c16:uniqueId val="{0000001A-3207-034B-9F99-2EB0FF7B613C}"/>
              </c:ext>
            </c:extLst>
          </c:dPt>
          <c:dPt>
            <c:idx val="17"/>
            <c:marker>
              <c:symbol val="none"/>
            </c:marker>
            <c:bubble3D val="0"/>
            <c:extLst>
              <c:ext xmlns:c16="http://schemas.microsoft.com/office/drawing/2014/chart" uri="{C3380CC4-5D6E-409C-BE32-E72D297353CC}">
                <c16:uniqueId val="{0000001B-3207-034B-9F99-2EB0FF7B613C}"/>
              </c:ext>
            </c:extLst>
          </c:dPt>
          <c:dPt>
            <c:idx val="19"/>
            <c:marker>
              <c:symbol val="none"/>
            </c:marker>
            <c:bubble3D val="0"/>
            <c:extLst>
              <c:ext xmlns:c16="http://schemas.microsoft.com/office/drawing/2014/chart" uri="{C3380CC4-5D6E-409C-BE32-E72D297353CC}">
                <c16:uniqueId val="{0000001C-3207-034B-9F99-2EB0FF7B613C}"/>
              </c:ext>
            </c:extLst>
          </c:dPt>
          <c:dPt>
            <c:idx val="21"/>
            <c:marker>
              <c:symbol val="none"/>
            </c:marker>
            <c:bubble3D val="0"/>
            <c:extLst>
              <c:ext xmlns:c16="http://schemas.microsoft.com/office/drawing/2014/chart" uri="{C3380CC4-5D6E-409C-BE32-E72D297353CC}">
                <c16:uniqueId val="{0000001D-3207-034B-9F99-2EB0FF7B613C}"/>
              </c:ext>
            </c:extLst>
          </c:dPt>
          <c:dPt>
            <c:idx val="22"/>
            <c:marker>
              <c:symbol val="none"/>
            </c:marker>
            <c:bubble3D val="0"/>
            <c:extLst>
              <c:ext xmlns:c16="http://schemas.microsoft.com/office/drawing/2014/chart" uri="{C3380CC4-5D6E-409C-BE32-E72D297353CC}">
                <c16:uniqueId val="{0000001E-3207-034B-9F99-2EB0FF7B613C}"/>
              </c:ext>
            </c:extLst>
          </c:dPt>
          <c:dPt>
            <c:idx val="25"/>
            <c:marker>
              <c:symbol val="none"/>
            </c:marker>
            <c:bubble3D val="0"/>
            <c:extLst>
              <c:ext xmlns:c16="http://schemas.microsoft.com/office/drawing/2014/chart" uri="{C3380CC4-5D6E-409C-BE32-E72D297353CC}">
                <c16:uniqueId val="{0000001F-3207-034B-9F99-2EB0FF7B613C}"/>
              </c:ext>
            </c:extLst>
          </c:dPt>
          <c:dPt>
            <c:idx val="26"/>
            <c:marker>
              <c:symbol val="none"/>
            </c:marker>
            <c:bubble3D val="0"/>
            <c:extLst>
              <c:ext xmlns:c16="http://schemas.microsoft.com/office/drawing/2014/chart" uri="{C3380CC4-5D6E-409C-BE32-E72D297353CC}">
                <c16:uniqueId val="{00000020-3207-034B-9F99-2EB0FF7B613C}"/>
              </c:ext>
            </c:extLst>
          </c:dPt>
          <c:dPt>
            <c:idx val="28"/>
            <c:marker>
              <c:symbol val="none"/>
            </c:marker>
            <c:bubble3D val="0"/>
            <c:extLst>
              <c:ext xmlns:c16="http://schemas.microsoft.com/office/drawing/2014/chart" uri="{C3380CC4-5D6E-409C-BE32-E72D297353CC}">
                <c16:uniqueId val="{00000021-3207-034B-9F99-2EB0FF7B613C}"/>
              </c:ext>
            </c:extLst>
          </c:dPt>
          <c:dPt>
            <c:idx val="29"/>
            <c:marker>
              <c:symbol val="none"/>
            </c:marker>
            <c:bubble3D val="0"/>
            <c:extLst>
              <c:ext xmlns:c16="http://schemas.microsoft.com/office/drawing/2014/chart" uri="{C3380CC4-5D6E-409C-BE32-E72D297353CC}">
                <c16:uniqueId val="{00000022-3207-034B-9F99-2EB0FF7B613C}"/>
              </c:ext>
            </c:extLst>
          </c:dPt>
          <c:dPt>
            <c:idx val="30"/>
            <c:marker>
              <c:symbol val="none"/>
            </c:marker>
            <c:bubble3D val="0"/>
            <c:extLst>
              <c:ext xmlns:c16="http://schemas.microsoft.com/office/drawing/2014/chart" uri="{C3380CC4-5D6E-409C-BE32-E72D297353CC}">
                <c16:uniqueId val="{00000023-3207-034B-9F99-2EB0FF7B613C}"/>
              </c:ext>
            </c:extLst>
          </c:dPt>
          <c:dPt>
            <c:idx val="31"/>
            <c:marker>
              <c:symbol val="none"/>
            </c:marker>
            <c:bubble3D val="0"/>
            <c:extLst>
              <c:ext xmlns:c16="http://schemas.microsoft.com/office/drawing/2014/chart" uri="{C3380CC4-5D6E-409C-BE32-E72D297353CC}">
                <c16:uniqueId val="{00000024-3207-034B-9F99-2EB0FF7B613C}"/>
              </c:ext>
            </c:extLst>
          </c:dPt>
          <c:dPt>
            <c:idx val="32"/>
            <c:marker>
              <c:symbol val="none"/>
            </c:marker>
            <c:bubble3D val="0"/>
            <c:extLst>
              <c:ext xmlns:c16="http://schemas.microsoft.com/office/drawing/2014/chart" uri="{C3380CC4-5D6E-409C-BE32-E72D297353CC}">
                <c16:uniqueId val="{00000025-3207-034B-9F99-2EB0FF7B613C}"/>
              </c:ext>
            </c:extLst>
          </c:dPt>
          <c:dPt>
            <c:idx val="34"/>
            <c:marker>
              <c:symbol val="none"/>
            </c:marker>
            <c:bubble3D val="0"/>
            <c:extLst>
              <c:ext xmlns:c16="http://schemas.microsoft.com/office/drawing/2014/chart" uri="{C3380CC4-5D6E-409C-BE32-E72D297353CC}">
                <c16:uniqueId val="{00000026-3207-034B-9F99-2EB0FF7B613C}"/>
              </c:ext>
            </c:extLst>
          </c:dPt>
          <c:dPt>
            <c:idx val="35"/>
            <c:marker>
              <c:symbol val="none"/>
            </c:marker>
            <c:bubble3D val="0"/>
            <c:extLst>
              <c:ext xmlns:c16="http://schemas.microsoft.com/office/drawing/2014/chart" uri="{C3380CC4-5D6E-409C-BE32-E72D297353CC}">
                <c16:uniqueId val="{00000027-3207-034B-9F99-2EB0FF7B613C}"/>
              </c:ext>
            </c:extLst>
          </c:dPt>
          <c:dPt>
            <c:idx val="36"/>
            <c:marker>
              <c:symbol val="none"/>
            </c:marker>
            <c:bubble3D val="0"/>
            <c:extLst>
              <c:ext xmlns:c16="http://schemas.microsoft.com/office/drawing/2014/chart" uri="{C3380CC4-5D6E-409C-BE32-E72D297353CC}">
                <c16:uniqueId val="{00000028-3207-034B-9F99-2EB0FF7B613C}"/>
              </c:ext>
            </c:extLst>
          </c:dPt>
          <c:dPt>
            <c:idx val="37"/>
            <c:marker>
              <c:symbol val="none"/>
            </c:marker>
            <c:bubble3D val="0"/>
            <c:extLst>
              <c:ext xmlns:c16="http://schemas.microsoft.com/office/drawing/2014/chart" uri="{C3380CC4-5D6E-409C-BE32-E72D297353CC}">
                <c16:uniqueId val="{00000029-3207-034B-9F99-2EB0FF7B613C}"/>
              </c:ext>
            </c:extLst>
          </c:dPt>
          <c:dPt>
            <c:idx val="42"/>
            <c:marker>
              <c:symbol val="none"/>
            </c:marker>
            <c:bubble3D val="0"/>
            <c:extLst>
              <c:ext xmlns:c16="http://schemas.microsoft.com/office/drawing/2014/chart" uri="{C3380CC4-5D6E-409C-BE32-E72D297353CC}">
                <c16:uniqueId val="{0000002A-3207-034B-9F99-2EB0FF7B613C}"/>
              </c:ext>
            </c:extLst>
          </c:dPt>
          <c:dLbls>
            <c:dLbl>
              <c:idx val="0"/>
              <c:layout>
                <c:manualLayout>
                  <c:x val="-2.8138924725292086E-2"/>
                  <c:y val="-3.7516781378285749E-2"/>
                </c:manualLayout>
              </c:layout>
              <c:tx>
                <c:rich>
                  <a:bodyPr/>
                  <a:lstStyle/>
                  <a:p>
                    <a:r>
                      <a:rPr lang="mn-MN"/>
                      <a:t>В3</a:t>
                    </a:r>
                    <a:r>
                      <a:rPr lang="mn-MN" baseline="0"/>
                      <a:t> (=)</a:t>
                    </a:r>
                    <a:endParaRPr lang="mn-MN"/>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B-3207-034B-9F99-2EB0FF7B613C}"/>
                </c:ext>
              </c:extLst>
            </c:dLbl>
            <c:dLbl>
              <c:idx val="3"/>
              <c:layout>
                <c:manualLayout>
                  <c:x val="-5.719397932867442E-2"/>
                  <c:y val="-5.6051930345080402E-2"/>
                </c:manualLayout>
              </c:layout>
              <c:tx>
                <c:rich>
                  <a:bodyPr/>
                  <a:lstStyle/>
                  <a:p>
                    <a:r>
                      <a:rPr lang="mn-MN"/>
                      <a:t>В-</a:t>
                    </a:r>
                    <a:r>
                      <a:rPr lang="mn-MN" baseline="0"/>
                      <a:t> (+)</a:t>
                    </a:r>
                    <a:endParaRPr lang="mn-MN"/>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16-3207-034B-9F99-2EB0FF7B613C}"/>
                </c:ext>
              </c:extLst>
            </c:dLbl>
            <c:dLbl>
              <c:idx val="26"/>
              <c:layout>
                <c:manualLayout>
                  <c:x val="-7.3260073260073263E-2"/>
                  <c:y val="1.0531858873091052E-2"/>
                </c:manualLayout>
              </c:layout>
              <c:tx>
                <c:rich>
                  <a:bodyPr/>
                  <a:lstStyle/>
                  <a:p>
                    <a:r>
                      <a:rPr lang="mn-MN"/>
                      <a:t>В тогтвортой</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20-3207-034B-9F99-2EB0FF7B613C}"/>
                </c:ext>
              </c:extLst>
            </c:dLbl>
            <c:dLbl>
              <c:idx val="34"/>
              <c:layout>
                <c:manualLayout>
                  <c:x val="-3.6630036630036632E-2"/>
                  <c:y val="-1.3164823591363973E-2"/>
                </c:manualLayout>
              </c:layout>
              <c:tx>
                <c:rich>
                  <a:bodyPr/>
                  <a:lstStyle/>
                  <a:p>
                    <a:r>
                      <a:rPr lang="az-Cyrl-AZ"/>
                      <a:t>В-</a:t>
                    </a:r>
                    <a:r>
                      <a:rPr lang="az-Cyrl-AZ" baseline="0"/>
                      <a:t> эерэг</a:t>
                    </a:r>
                    <a:endParaRPr lang="az-Cyrl-AZ"/>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6-3207-034B-9F99-2EB0FF7B613C}"/>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MN"/>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(2)'!$A$35:$A$55</c:f>
              <c:strCache>
                <c:ptCount val="21"/>
                <c:pt idx="0">
                  <c:v>2016.IV</c:v>
                </c:pt>
                <c:pt idx="1">
                  <c:v>2017.I</c:v>
                </c:pt>
                <c:pt idx="2">
                  <c:v>2017.II</c:v>
                </c:pt>
                <c:pt idx="3">
                  <c:v>2017.III</c:v>
                </c:pt>
                <c:pt idx="4">
                  <c:v>2017.IV</c:v>
                </c:pt>
                <c:pt idx="5">
                  <c:v>2018.I</c:v>
                </c:pt>
                <c:pt idx="6">
                  <c:v>2018.II</c:v>
                </c:pt>
                <c:pt idx="7">
                  <c:v>2018.III</c:v>
                </c:pt>
                <c:pt idx="8">
                  <c:v>2018.IV</c:v>
                </c:pt>
                <c:pt idx="9">
                  <c:v>2019.I</c:v>
                </c:pt>
                <c:pt idx="10">
                  <c:v>2019.II</c:v>
                </c:pt>
                <c:pt idx="11">
                  <c:v>2019.III</c:v>
                </c:pt>
                <c:pt idx="12">
                  <c:v>2019.IV</c:v>
                </c:pt>
                <c:pt idx="13">
                  <c:v>2020.I</c:v>
                </c:pt>
                <c:pt idx="14">
                  <c:v>2020.II</c:v>
                </c:pt>
                <c:pt idx="15">
                  <c:v>2020.III</c:v>
                </c:pt>
                <c:pt idx="16">
                  <c:v>2020.IV</c:v>
                </c:pt>
                <c:pt idx="17">
                  <c:v>2021.I</c:v>
                </c:pt>
                <c:pt idx="18">
                  <c:v>2021.II</c:v>
                </c:pt>
                <c:pt idx="19">
                  <c:v>2021.III</c:v>
                </c:pt>
                <c:pt idx="20">
                  <c:v>2021.IV</c:v>
                </c:pt>
              </c:strCache>
              <c:extLst/>
            </c:strRef>
          </c:cat>
          <c:val>
            <c:numRef>
              <c:f>'Graph (2)'!$C$35:$C$55</c:f>
              <c:numCache>
                <c:formatCode>General</c:formatCode>
                <c:ptCount val="21"/>
                <c:pt idx="0">
                  <c:v>5</c:v>
                </c:pt>
                <c:pt idx="1">
                  <c:v>5</c:v>
                </c:pt>
                <c:pt idx="2">
                  <c:v>5</c:v>
                </c:pt>
                <c:pt idx="3">
                  <c:v>5</c:v>
                </c:pt>
                <c:pt idx="4">
                  <c:v>6</c:v>
                </c:pt>
                <c:pt idx="5">
                  <c:v>6</c:v>
                </c:pt>
                <c:pt idx="6">
                  <c:v>6</c:v>
                </c:pt>
                <c:pt idx="7">
                  <c:v>8</c:v>
                </c:pt>
                <c:pt idx="8">
                  <c:v>8</c:v>
                </c:pt>
                <c:pt idx="9">
                  <c:v>8</c:v>
                </c:pt>
                <c:pt idx="10">
                  <c:v>8</c:v>
                </c:pt>
                <c:pt idx="11">
                  <c:v>8</c:v>
                </c:pt>
                <c:pt idx="12">
                  <c:v>8</c:v>
                </c:pt>
                <c:pt idx="13">
                  <c:v>8</c:v>
                </c:pt>
                <c:pt idx="14">
                  <c:v>8</c:v>
                </c:pt>
                <c:pt idx="15">
                  <c:v>8</c:v>
                </c:pt>
                <c:pt idx="16">
                  <c:v>8</c:v>
                </c:pt>
                <c:pt idx="17">
                  <c:v>8</c:v>
                </c:pt>
                <c:pt idx="18">
                  <c:v>8</c:v>
                </c:pt>
                <c:pt idx="19">
                  <c:v>8</c:v>
                </c:pt>
                <c:pt idx="20">
                  <c:v>8</c:v>
                </c:pt>
              </c:numCache>
              <c:extLst/>
            </c:numRef>
          </c:val>
          <c:smooth val="0"/>
          <c:extLst>
            <c:ext xmlns:c16="http://schemas.microsoft.com/office/drawing/2014/chart" uri="{C3380CC4-5D6E-409C-BE32-E72D297353CC}">
              <c16:uniqueId val="{0000002C-3207-034B-9F99-2EB0FF7B613C}"/>
            </c:ext>
          </c:extLst>
        </c:ser>
        <c:ser>
          <c:idx val="2"/>
          <c:order val="2"/>
          <c:tx>
            <c:strRef>
              <c:f>'Graph (2)'!$D$4</c:f>
              <c:strCache>
                <c:ptCount val="1"/>
                <c:pt idx="0">
                  <c:v>Эс энд Пи</c:v>
                </c:pt>
              </c:strCache>
            </c:strRef>
          </c:tx>
          <c:spPr>
            <a:ln w="28575" cap="rnd">
              <a:solidFill>
                <a:srgbClr val="00B050"/>
              </a:solidFill>
              <a:prstDash val="dashDot"/>
              <a:round/>
            </a:ln>
            <a:effectLst/>
          </c:spPr>
          <c:marker>
            <c:symbol val="none"/>
          </c:marker>
          <c:dPt>
            <c:idx val="0"/>
            <c:marker>
              <c:symbol val="square"/>
              <c:size val="7"/>
              <c:spPr>
                <a:solidFill>
                  <a:schemeClr val="accent2"/>
                </a:solidFill>
                <a:ln w="9525">
                  <a:solidFill>
                    <a:schemeClr val="accent3"/>
                  </a:solidFill>
                </a:ln>
                <a:effectLst/>
              </c:spPr>
            </c:marker>
            <c:bubble3D val="0"/>
            <c:extLst>
              <c:ext xmlns:c16="http://schemas.microsoft.com/office/drawing/2014/chart" uri="{C3380CC4-5D6E-409C-BE32-E72D297353CC}">
                <c16:uniqueId val="{0000002D-3207-034B-9F99-2EB0FF7B613C}"/>
              </c:ext>
            </c:extLst>
          </c:dPt>
          <c:dPt>
            <c:idx val="3"/>
            <c:marker>
              <c:symbol val="none"/>
            </c:marker>
            <c:bubble3D val="0"/>
            <c:extLst>
              <c:ext xmlns:c16="http://schemas.microsoft.com/office/drawing/2014/chart" uri="{C3380CC4-5D6E-409C-BE32-E72D297353CC}">
                <c16:uniqueId val="{0000002E-3207-034B-9F99-2EB0FF7B613C}"/>
              </c:ext>
            </c:extLst>
          </c:dPt>
          <c:dPt>
            <c:idx val="6"/>
            <c:marker>
              <c:symbol val="circle"/>
              <c:size val="7"/>
              <c:spPr>
                <a:solidFill>
                  <a:srgbClr val="00B050"/>
                </a:solidFill>
                <a:ln w="9525">
                  <a:solidFill>
                    <a:schemeClr val="accent3"/>
                  </a:solidFill>
                </a:ln>
                <a:effectLst/>
              </c:spPr>
            </c:marker>
            <c:bubble3D val="0"/>
            <c:extLst>
              <c:ext xmlns:c16="http://schemas.microsoft.com/office/drawing/2014/chart" uri="{C3380CC4-5D6E-409C-BE32-E72D297353CC}">
                <c16:uniqueId val="{0000002F-3207-034B-9F99-2EB0FF7B613C}"/>
              </c:ext>
            </c:extLst>
          </c:dPt>
          <c:dPt>
            <c:idx val="8"/>
            <c:marker>
              <c:symbol val="circle"/>
              <c:size val="7"/>
              <c:spPr>
                <a:solidFill>
                  <a:srgbClr val="00B050"/>
                </a:solidFill>
                <a:ln w="9525">
                  <a:solidFill>
                    <a:srgbClr val="00B050"/>
                  </a:solidFill>
                </a:ln>
                <a:effectLst/>
              </c:spPr>
            </c:marker>
            <c:bubble3D val="0"/>
            <c:extLst>
              <c:ext xmlns:c16="http://schemas.microsoft.com/office/drawing/2014/chart" uri="{C3380CC4-5D6E-409C-BE32-E72D297353CC}">
                <c16:uniqueId val="{00000030-3207-034B-9F99-2EB0FF7B613C}"/>
              </c:ext>
            </c:extLst>
          </c:dPt>
          <c:dPt>
            <c:idx val="11"/>
            <c:marker>
              <c:symbol val="circle"/>
              <c:size val="7"/>
              <c:spPr>
                <a:solidFill>
                  <a:srgbClr val="00B050"/>
                </a:solidFill>
                <a:ln w="9525">
                  <a:solidFill>
                    <a:srgbClr val="00B050"/>
                  </a:solidFill>
                </a:ln>
                <a:effectLst/>
              </c:spPr>
            </c:marker>
            <c:bubble3D val="0"/>
            <c:extLst>
              <c:ext xmlns:c16="http://schemas.microsoft.com/office/drawing/2014/chart" uri="{C3380CC4-5D6E-409C-BE32-E72D297353CC}">
                <c16:uniqueId val="{00000031-3207-034B-9F99-2EB0FF7B613C}"/>
              </c:ext>
            </c:extLst>
          </c:dPt>
          <c:dPt>
            <c:idx val="14"/>
            <c:marker>
              <c:symbol val="circle"/>
              <c:size val="7"/>
              <c:spPr>
                <a:solidFill>
                  <a:srgbClr val="00B050"/>
                </a:solidFill>
                <a:ln w="9525">
                  <a:solidFill>
                    <a:srgbClr val="00B050"/>
                  </a:solidFill>
                </a:ln>
                <a:effectLst/>
              </c:spPr>
            </c:marker>
            <c:bubble3D val="0"/>
            <c:extLst>
              <c:ext xmlns:c16="http://schemas.microsoft.com/office/drawing/2014/chart" uri="{C3380CC4-5D6E-409C-BE32-E72D297353CC}">
                <c16:uniqueId val="{00000032-3207-034B-9F99-2EB0FF7B613C}"/>
              </c:ext>
            </c:extLst>
          </c:dPt>
          <c:dPt>
            <c:idx val="15"/>
            <c:marker>
              <c:symbol val="square"/>
              <c:size val="7"/>
              <c:spPr>
                <a:solidFill>
                  <a:schemeClr val="accent2"/>
                </a:solidFill>
                <a:ln w="9525">
                  <a:noFill/>
                </a:ln>
                <a:effectLst/>
              </c:spPr>
            </c:marker>
            <c:bubble3D val="0"/>
            <c:extLst>
              <c:ext xmlns:c16="http://schemas.microsoft.com/office/drawing/2014/chart" uri="{C3380CC4-5D6E-409C-BE32-E72D297353CC}">
                <c16:uniqueId val="{00000033-3207-034B-9F99-2EB0FF7B613C}"/>
              </c:ext>
            </c:extLst>
          </c:dPt>
          <c:dPt>
            <c:idx val="16"/>
            <c:marker>
              <c:symbol val="none"/>
            </c:marker>
            <c:bubble3D val="0"/>
            <c:extLst>
              <c:ext xmlns:c16="http://schemas.microsoft.com/office/drawing/2014/chart" uri="{C3380CC4-5D6E-409C-BE32-E72D297353CC}">
                <c16:uniqueId val="{00000034-3207-034B-9F99-2EB0FF7B613C}"/>
              </c:ext>
            </c:extLst>
          </c:dPt>
          <c:dPt>
            <c:idx val="17"/>
            <c:marker>
              <c:symbol val="none"/>
            </c:marker>
            <c:bubble3D val="0"/>
            <c:extLst>
              <c:ext xmlns:c16="http://schemas.microsoft.com/office/drawing/2014/chart" uri="{C3380CC4-5D6E-409C-BE32-E72D297353CC}">
                <c16:uniqueId val="{00000035-3207-034B-9F99-2EB0FF7B613C}"/>
              </c:ext>
            </c:extLst>
          </c:dPt>
          <c:dPt>
            <c:idx val="18"/>
            <c:marker>
              <c:symbol val="square"/>
              <c:size val="7"/>
              <c:spPr>
                <a:solidFill>
                  <a:schemeClr val="accent2"/>
                </a:solidFill>
                <a:ln w="9525">
                  <a:noFill/>
                </a:ln>
                <a:effectLst/>
              </c:spPr>
            </c:marker>
            <c:bubble3D val="0"/>
            <c:extLst>
              <c:ext xmlns:c16="http://schemas.microsoft.com/office/drawing/2014/chart" uri="{C3380CC4-5D6E-409C-BE32-E72D297353CC}">
                <c16:uniqueId val="{00000036-3207-034B-9F99-2EB0FF7B613C}"/>
              </c:ext>
            </c:extLst>
          </c:dPt>
          <c:dPt>
            <c:idx val="19"/>
            <c:marker>
              <c:symbol val="circle"/>
              <c:size val="7"/>
              <c:spPr>
                <a:solidFill>
                  <a:srgbClr val="00B050"/>
                </a:solidFill>
                <a:ln w="9525">
                  <a:noFill/>
                </a:ln>
                <a:effectLst/>
              </c:spPr>
            </c:marker>
            <c:bubble3D val="0"/>
            <c:extLst>
              <c:ext xmlns:c16="http://schemas.microsoft.com/office/drawing/2014/chart" uri="{C3380CC4-5D6E-409C-BE32-E72D297353CC}">
                <c16:uniqueId val="{00000037-3207-034B-9F99-2EB0FF7B613C}"/>
              </c:ext>
            </c:extLst>
          </c:dPt>
          <c:dPt>
            <c:idx val="21"/>
            <c:marker>
              <c:symbol val="circle"/>
              <c:size val="7"/>
              <c:spPr>
                <a:solidFill>
                  <a:srgbClr val="00B050"/>
                </a:solidFill>
                <a:ln w="9525">
                  <a:solidFill>
                    <a:srgbClr val="00B050"/>
                  </a:solidFill>
                </a:ln>
                <a:effectLst/>
              </c:spPr>
            </c:marker>
            <c:bubble3D val="0"/>
            <c:extLst>
              <c:ext xmlns:c16="http://schemas.microsoft.com/office/drawing/2014/chart" uri="{C3380CC4-5D6E-409C-BE32-E72D297353CC}">
                <c16:uniqueId val="{00000038-3207-034B-9F99-2EB0FF7B613C}"/>
              </c:ext>
            </c:extLst>
          </c:dPt>
          <c:dPt>
            <c:idx val="22"/>
            <c:marker>
              <c:symbol val="none"/>
            </c:marker>
            <c:bubble3D val="0"/>
            <c:extLst>
              <c:ext xmlns:c16="http://schemas.microsoft.com/office/drawing/2014/chart" uri="{C3380CC4-5D6E-409C-BE32-E72D297353CC}">
                <c16:uniqueId val="{00000039-3207-034B-9F99-2EB0FF7B613C}"/>
              </c:ext>
            </c:extLst>
          </c:dPt>
          <c:dPt>
            <c:idx val="26"/>
            <c:marker>
              <c:symbol val="none"/>
            </c:marker>
            <c:bubble3D val="0"/>
            <c:extLst>
              <c:ext xmlns:c16="http://schemas.microsoft.com/office/drawing/2014/chart" uri="{C3380CC4-5D6E-409C-BE32-E72D297353CC}">
                <c16:uniqueId val="{0000003A-3207-034B-9F99-2EB0FF7B613C}"/>
              </c:ext>
            </c:extLst>
          </c:dPt>
          <c:dPt>
            <c:idx val="28"/>
            <c:marker>
              <c:symbol val="circle"/>
              <c:size val="7"/>
              <c:spPr>
                <a:solidFill>
                  <a:srgbClr val="00B050"/>
                </a:solidFill>
                <a:ln w="9525">
                  <a:solidFill>
                    <a:srgbClr val="00B050"/>
                  </a:solidFill>
                </a:ln>
                <a:effectLst/>
              </c:spPr>
            </c:marker>
            <c:bubble3D val="0"/>
            <c:extLst>
              <c:ext xmlns:c16="http://schemas.microsoft.com/office/drawing/2014/chart" uri="{C3380CC4-5D6E-409C-BE32-E72D297353CC}">
                <c16:uniqueId val="{0000003B-3207-034B-9F99-2EB0FF7B613C}"/>
              </c:ext>
            </c:extLst>
          </c:dPt>
          <c:dPt>
            <c:idx val="29"/>
            <c:marker>
              <c:symbol val="circle"/>
              <c:size val="7"/>
              <c:spPr>
                <a:solidFill>
                  <a:srgbClr val="00B050"/>
                </a:solidFill>
                <a:ln w="9525">
                  <a:solidFill>
                    <a:srgbClr val="00B050"/>
                  </a:solidFill>
                </a:ln>
                <a:effectLst/>
              </c:spPr>
            </c:marker>
            <c:bubble3D val="0"/>
            <c:extLst>
              <c:ext xmlns:c16="http://schemas.microsoft.com/office/drawing/2014/chart" uri="{C3380CC4-5D6E-409C-BE32-E72D297353CC}">
                <c16:uniqueId val="{0000003C-3207-034B-9F99-2EB0FF7B613C}"/>
              </c:ext>
            </c:extLst>
          </c:dPt>
          <c:dPt>
            <c:idx val="30"/>
            <c:marker>
              <c:symbol val="none"/>
            </c:marker>
            <c:bubble3D val="0"/>
            <c:extLst>
              <c:ext xmlns:c16="http://schemas.microsoft.com/office/drawing/2014/chart" uri="{C3380CC4-5D6E-409C-BE32-E72D297353CC}">
                <c16:uniqueId val="{0000003D-3207-034B-9F99-2EB0FF7B613C}"/>
              </c:ext>
            </c:extLst>
          </c:dPt>
          <c:dPt>
            <c:idx val="31"/>
            <c:marker>
              <c:symbol val="none"/>
            </c:marker>
            <c:bubble3D val="0"/>
            <c:extLst>
              <c:ext xmlns:c16="http://schemas.microsoft.com/office/drawing/2014/chart" uri="{C3380CC4-5D6E-409C-BE32-E72D297353CC}">
                <c16:uniqueId val="{0000003E-3207-034B-9F99-2EB0FF7B613C}"/>
              </c:ext>
            </c:extLst>
          </c:dPt>
          <c:dPt>
            <c:idx val="32"/>
            <c:marker>
              <c:symbol val="none"/>
            </c:marker>
            <c:bubble3D val="0"/>
            <c:extLst>
              <c:ext xmlns:c16="http://schemas.microsoft.com/office/drawing/2014/chart" uri="{C3380CC4-5D6E-409C-BE32-E72D297353CC}">
                <c16:uniqueId val="{0000003F-3207-034B-9F99-2EB0FF7B613C}"/>
              </c:ext>
            </c:extLst>
          </c:dPt>
          <c:dPt>
            <c:idx val="34"/>
            <c:marker>
              <c:symbol val="none"/>
            </c:marker>
            <c:bubble3D val="0"/>
            <c:extLst>
              <c:ext xmlns:c16="http://schemas.microsoft.com/office/drawing/2014/chart" uri="{C3380CC4-5D6E-409C-BE32-E72D297353CC}">
                <c16:uniqueId val="{00000040-3207-034B-9F99-2EB0FF7B613C}"/>
              </c:ext>
            </c:extLst>
          </c:dPt>
          <c:dPt>
            <c:idx val="35"/>
            <c:marker>
              <c:symbol val="none"/>
            </c:marker>
            <c:bubble3D val="0"/>
            <c:extLst>
              <c:ext xmlns:c16="http://schemas.microsoft.com/office/drawing/2014/chart" uri="{C3380CC4-5D6E-409C-BE32-E72D297353CC}">
                <c16:uniqueId val="{00000041-3207-034B-9F99-2EB0FF7B613C}"/>
              </c:ext>
            </c:extLst>
          </c:dPt>
          <c:dPt>
            <c:idx val="36"/>
            <c:marker>
              <c:symbol val="circle"/>
              <c:size val="7"/>
              <c:spPr>
                <a:solidFill>
                  <a:srgbClr val="00B050"/>
                </a:solidFill>
                <a:ln w="9525">
                  <a:solidFill>
                    <a:srgbClr val="00B050"/>
                  </a:solidFill>
                </a:ln>
                <a:effectLst/>
              </c:spPr>
            </c:marker>
            <c:bubble3D val="0"/>
            <c:extLst>
              <c:ext xmlns:c16="http://schemas.microsoft.com/office/drawing/2014/chart" uri="{C3380CC4-5D6E-409C-BE32-E72D297353CC}">
                <c16:uniqueId val="{00000042-3207-034B-9F99-2EB0FF7B613C}"/>
              </c:ext>
            </c:extLst>
          </c:dPt>
          <c:dPt>
            <c:idx val="37"/>
            <c:marker>
              <c:symbol val="none"/>
            </c:marker>
            <c:bubble3D val="0"/>
            <c:extLst>
              <c:ext xmlns:c16="http://schemas.microsoft.com/office/drawing/2014/chart" uri="{C3380CC4-5D6E-409C-BE32-E72D297353CC}">
                <c16:uniqueId val="{00000043-3207-034B-9F99-2EB0FF7B613C}"/>
              </c:ext>
            </c:extLst>
          </c:dPt>
          <c:dPt>
            <c:idx val="38"/>
            <c:marker>
              <c:symbol val="circle"/>
              <c:size val="7"/>
              <c:spPr>
                <a:solidFill>
                  <a:srgbClr val="00B050"/>
                </a:solidFill>
                <a:ln w="9525">
                  <a:solidFill>
                    <a:srgbClr val="00B050"/>
                  </a:solidFill>
                </a:ln>
                <a:effectLst/>
              </c:spPr>
            </c:marker>
            <c:bubble3D val="0"/>
            <c:extLst>
              <c:ext xmlns:c16="http://schemas.microsoft.com/office/drawing/2014/chart" uri="{C3380CC4-5D6E-409C-BE32-E72D297353CC}">
                <c16:uniqueId val="{00000044-3207-034B-9F99-2EB0FF7B613C}"/>
              </c:ext>
            </c:extLst>
          </c:dPt>
          <c:dPt>
            <c:idx val="42"/>
            <c:marker>
              <c:symbol val="circle"/>
              <c:size val="7"/>
              <c:spPr>
                <a:solidFill>
                  <a:srgbClr val="00B050"/>
                </a:solidFill>
                <a:ln w="9525">
                  <a:solidFill>
                    <a:srgbClr val="00B050"/>
                  </a:solidFill>
                </a:ln>
                <a:effectLst/>
              </c:spPr>
            </c:marker>
            <c:bubble3D val="0"/>
            <c:extLst>
              <c:ext xmlns:c16="http://schemas.microsoft.com/office/drawing/2014/chart" uri="{C3380CC4-5D6E-409C-BE32-E72D297353CC}">
                <c16:uniqueId val="{00000045-3207-034B-9F99-2EB0FF7B613C}"/>
              </c:ext>
            </c:extLst>
          </c:dPt>
          <c:dPt>
            <c:idx val="44"/>
            <c:marker>
              <c:symbol val="circle"/>
              <c:size val="5"/>
              <c:spPr>
                <a:solidFill>
                  <a:srgbClr val="00B050"/>
                </a:solidFill>
                <a:ln w="31750">
                  <a:solidFill>
                    <a:srgbClr val="00B050"/>
                  </a:solidFill>
                </a:ln>
                <a:effectLst/>
              </c:spPr>
            </c:marker>
            <c:bubble3D val="0"/>
            <c:extLst>
              <c:ext xmlns:c16="http://schemas.microsoft.com/office/drawing/2014/chart" uri="{C3380CC4-5D6E-409C-BE32-E72D297353CC}">
                <c16:uniqueId val="{00000046-3207-034B-9F99-2EB0FF7B613C}"/>
              </c:ext>
            </c:extLst>
          </c:dPt>
          <c:dPt>
            <c:idx val="45"/>
            <c:marker>
              <c:symbol val="circle"/>
              <c:size val="8"/>
              <c:spPr>
                <a:solidFill>
                  <a:srgbClr val="00B050"/>
                </a:solidFill>
                <a:ln w="9525">
                  <a:solidFill>
                    <a:srgbClr val="00B050"/>
                  </a:solidFill>
                </a:ln>
                <a:effectLst/>
              </c:spPr>
            </c:marker>
            <c:bubble3D val="0"/>
            <c:extLst>
              <c:ext xmlns:c16="http://schemas.microsoft.com/office/drawing/2014/chart" uri="{C3380CC4-5D6E-409C-BE32-E72D297353CC}">
                <c16:uniqueId val="{00000047-3207-034B-9F99-2EB0FF7B613C}"/>
              </c:ext>
            </c:extLst>
          </c:dPt>
          <c:dLbls>
            <c:dLbl>
              <c:idx val="8"/>
              <c:layout>
                <c:manualLayout>
                  <c:x val="-2.9304049383688892E-2"/>
                  <c:y val="-5.3255186281676727E-2"/>
                </c:manualLayout>
              </c:layout>
              <c:tx>
                <c:rich>
                  <a:bodyPr/>
                  <a:lstStyle/>
                  <a:p>
                    <a:r>
                      <a:rPr lang="en-US"/>
                      <a:t>B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0-3207-034B-9F99-2EB0FF7B613C}"/>
                </c:ext>
              </c:extLst>
            </c:dLbl>
            <c:dLbl>
              <c:idx val="17"/>
              <c:layout>
                <c:manualLayout>
                  <c:x val="-7.3881959142140852E-2"/>
                  <c:y val="-6.2491344585193988E-2"/>
                </c:manualLayout>
              </c:layout>
              <c:tx>
                <c:rich>
                  <a:bodyPr/>
                  <a:lstStyle/>
                  <a:p>
                    <a:r>
                      <a:rPr lang="en-US"/>
                      <a:t>B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5-3207-034B-9F99-2EB0FF7B613C}"/>
                </c:ext>
              </c:extLst>
            </c:dLbl>
            <c:dLbl>
              <c:idx val="18"/>
              <c:layout>
                <c:manualLayout>
                  <c:x val="-1.5965930941978276E-2"/>
                  <c:y val="-5.3328502736504572E-2"/>
                </c:manualLayout>
              </c:layout>
              <c:tx>
                <c:rich>
                  <a:bodyPr/>
                  <a:lstStyle/>
                  <a:p>
                    <a:r>
                      <a:rPr lang="en-US"/>
                      <a:t>B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6-3207-034B-9F99-2EB0FF7B613C}"/>
                </c:ext>
              </c:extLst>
            </c:dLbl>
            <c:dLbl>
              <c:idx val="21"/>
              <c:layout>
                <c:manualLayout>
                  <c:x val="-1.098901098901099E-2"/>
                  <c:y val="-1.8430753027909426E-2"/>
                </c:manualLayout>
              </c:layout>
              <c:tx>
                <c:rich>
                  <a:bodyPr/>
                  <a:lstStyle/>
                  <a:p>
                    <a:r>
                      <a:rPr lang="mn-MN"/>
                      <a:t>В+</a:t>
                    </a:r>
                    <a:r>
                      <a:rPr lang="mn-MN" baseline="0"/>
                      <a:t> тогтвортой </a:t>
                    </a:r>
                    <a:endParaRPr lang="mn-MN"/>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38-3207-034B-9F99-2EB0FF7B613C}"/>
                </c:ext>
              </c:extLst>
            </c:dLbl>
            <c:dLbl>
              <c:idx val="28"/>
              <c:layout>
                <c:manualLayout>
                  <c:x val="-4.0293040293040427E-2"/>
                  <c:y val="-2.3696682464455023E-2"/>
                </c:manualLayout>
              </c:layout>
              <c:tx>
                <c:rich>
                  <a:bodyPr/>
                  <a:lstStyle/>
                  <a:p>
                    <a:r>
                      <a:rPr lang="mn-MN"/>
                      <a:t>В</a:t>
                    </a:r>
                    <a:r>
                      <a:rPr lang="mn-MN" baseline="0"/>
                      <a:t> тогтвортой</a:t>
                    </a:r>
                    <a:endParaRPr lang="mn-MN"/>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3B-3207-034B-9F99-2EB0FF7B613C}"/>
                </c:ext>
              </c:extLst>
            </c:dLbl>
            <c:dLbl>
              <c:idx val="29"/>
              <c:layout>
                <c:manualLayout>
                  <c:x val="-5.128205128205128E-2"/>
                  <c:y val="1.8430753027909426E-2"/>
                </c:manualLayout>
              </c:layout>
              <c:tx>
                <c:rich>
                  <a:bodyPr/>
                  <a:lstStyle/>
                  <a:p>
                    <a:r>
                      <a:rPr lang="mn-MN"/>
                      <a:t>В-тогтвортой</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3C-3207-034B-9F99-2EB0FF7B613C}"/>
                </c:ext>
              </c:extLst>
            </c:dLbl>
            <c:dLbl>
              <c:idx val="38"/>
              <c:layout>
                <c:manualLayout>
                  <c:x val="0"/>
                  <c:y val="-2.3696682464455023E-2"/>
                </c:manualLayout>
              </c:layout>
              <c:tx>
                <c:rich>
                  <a:bodyPr/>
                  <a:lstStyle/>
                  <a:p>
                    <a:r>
                      <a:rPr lang="mn-MN"/>
                      <a:t>В</a:t>
                    </a:r>
                    <a:r>
                      <a:rPr lang="mn-MN" baseline="0"/>
                      <a:t> тогтвортой</a:t>
                    </a:r>
                    <a:endParaRPr lang="mn-MN"/>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4-3207-034B-9F99-2EB0FF7B613C}"/>
                </c:ext>
              </c:extLst>
            </c:dLbl>
            <c:dLbl>
              <c:idx val="44"/>
              <c:layout>
                <c:manualLayout>
                  <c:x val="-3.4797828413338297E-2"/>
                  <c:y val="-3.7936267071320182E-2"/>
                </c:manualLayout>
              </c:layout>
              <c:tx>
                <c:rich>
                  <a:bodyPr rot="0" spcFirstLastPara="1" vertOverflow="ellipsis" vert="horz" wrap="square" anchor="ctr" anchorCtr="1"/>
                  <a:lstStyle/>
                  <a:p>
                    <a:pPr algn="ctr" rtl="0">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az-Cyrl-AZ" sz="1100" b="1"/>
                      <a:t>В тогтвортой</a:t>
                    </a:r>
                  </a:p>
                </c:rich>
              </c:tx>
              <c:spPr>
                <a:noFill/>
                <a:ln>
                  <a:noFill/>
                </a:ln>
                <a:effectLst/>
              </c:spPr>
              <c:txPr>
                <a:bodyPr rot="0" spcFirstLastPara="1" vertOverflow="ellipsis" vert="horz" wrap="square" anchor="ctr" anchorCtr="1"/>
                <a:lstStyle/>
                <a:p>
                  <a:pPr algn="ctr" rtl="0">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MN"/>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46-3207-034B-9F99-2EB0FF7B613C}"/>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MN"/>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'Graph (2)'!$A$35:$A$55</c:f>
              <c:strCache>
                <c:ptCount val="21"/>
                <c:pt idx="0">
                  <c:v>2016.IV</c:v>
                </c:pt>
                <c:pt idx="1">
                  <c:v>2017.I</c:v>
                </c:pt>
                <c:pt idx="2">
                  <c:v>2017.II</c:v>
                </c:pt>
                <c:pt idx="3">
                  <c:v>2017.III</c:v>
                </c:pt>
                <c:pt idx="4">
                  <c:v>2017.IV</c:v>
                </c:pt>
                <c:pt idx="5">
                  <c:v>2018.I</c:v>
                </c:pt>
                <c:pt idx="6">
                  <c:v>2018.II</c:v>
                </c:pt>
                <c:pt idx="7">
                  <c:v>2018.III</c:v>
                </c:pt>
                <c:pt idx="8">
                  <c:v>2018.IV</c:v>
                </c:pt>
                <c:pt idx="9">
                  <c:v>2019.I</c:v>
                </c:pt>
                <c:pt idx="10">
                  <c:v>2019.II</c:v>
                </c:pt>
                <c:pt idx="11">
                  <c:v>2019.III</c:v>
                </c:pt>
                <c:pt idx="12">
                  <c:v>2019.IV</c:v>
                </c:pt>
                <c:pt idx="13">
                  <c:v>2020.I</c:v>
                </c:pt>
                <c:pt idx="14">
                  <c:v>2020.II</c:v>
                </c:pt>
                <c:pt idx="15">
                  <c:v>2020.III</c:v>
                </c:pt>
                <c:pt idx="16">
                  <c:v>2020.IV</c:v>
                </c:pt>
                <c:pt idx="17">
                  <c:v>2021.I</c:v>
                </c:pt>
                <c:pt idx="18">
                  <c:v>2021.II</c:v>
                </c:pt>
                <c:pt idx="19">
                  <c:v>2021.III</c:v>
                </c:pt>
                <c:pt idx="20">
                  <c:v>2021.IV</c:v>
                </c:pt>
              </c:strCache>
              <c:extLst/>
            </c:strRef>
          </c:cat>
          <c:val>
            <c:numRef>
              <c:f>'Graph (2)'!$D$35:$D$55</c:f>
              <c:numCache>
                <c:formatCode>General</c:formatCode>
                <c:ptCount val="21"/>
                <c:pt idx="0">
                  <c:v>5</c:v>
                </c:pt>
                <c:pt idx="1">
                  <c:v>5</c:v>
                </c:pt>
                <c:pt idx="2">
                  <c:v>5</c:v>
                </c:pt>
                <c:pt idx="3">
                  <c:v>5</c:v>
                </c:pt>
                <c:pt idx="4">
                  <c:v>5</c:v>
                </c:pt>
                <c:pt idx="5">
                  <c:v>5</c:v>
                </c:pt>
                <c:pt idx="6">
                  <c:v>5</c:v>
                </c:pt>
                <c:pt idx="7">
                  <c:v>5</c:v>
                </c:pt>
                <c:pt idx="8">
                  <c:v>8</c:v>
                </c:pt>
                <c:pt idx="9">
                  <c:v>8</c:v>
                </c:pt>
                <c:pt idx="10">
                  <c:v>8</c:v>
                </c:pt>
                <c:pt idx="11">
                  <c:v>8</c:v>
                </c:pt>
                <c:pt idx="12">
                  <c:v>8</c:v>
                </c:pt>
                <c:pt idx="13">
                  <c:v>8</c:v>
                </c:pt>
                <c:pt idx="14">
                  <c:v>8</c:v>
                </c:pt>
                <c:pt idx="15">
                  <c:v>8</c:v>
                </c:pt>
                <c:pt idx="16">
                  <c:v>8</c:v>
                </c:pt>
                <c:pt idx="17">
                  <c:v>8</c:v>
                </c:pt>
                <c:pt idx="18">
                  <c:v>8</c:v>
                </c:pt>
                <c:pt idx="19">
                  <c:v>8</c:v>
                </c:pt>
                <c:pt idx="20">
                  <c:v>8</c:v>
                </c:pt>
              </c:numCache>
              <c:extLst/>
            </c:numRef>
          </c:val>
          <c:smooth val="0"/>
          <c:extLst>
            <c:ext xmlns:c16="http://schemas.microsoft.com/office/drawing/2014/chart" uri="{C3380CC4-5D6E-409C-BE32-E72D297353CC}">
              <c16:uniqueId val="{00000048-3207-034B-9F99-2EB0FF7B613C}"/>
            </c:ext>
          </c:extLst>
        </c:ser>
        <c:dLbls>
          <c:showLegendKey val="0"/>
          <c:showVal val="0"/>
          <c:showCatName val="0"/>
          <c:showSerName val="0"/>
          <c:showPercent val="0"/>
          <c:showBubbleSize val="0"/>
        </c:dLbls>
        <c:smooth val="0"/>
        <c:axId val="360132296"/>
        <c:axId val="360132624"/>
      </c:lineChart>
      <c:catAx>
        <c:axId val="3601322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MN"/>
          </a:p>
        </c:txPr>
        <c:crossAx val="360132624"/>
        <c:crosses val="autoZero"/>
        <c:auto val="1"/>
        <c:lblAlgn val="ctr"/>
        <c:lblOffset val="100"/>
        <c:tickMarkSkip val="1"/>
        <c:noMultiLvlLbl val="0"/>
      </c:catAx>
      <c:valAx>
        <c:axId val="360132624"/>
        <c:scaling>
          <c:orientation val="minMax"/>
          <c:max val="15"/>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360132296"/>
        <c:crossesAt val="1"/>
        <c:crossBetween val="between"/>
        <c:majorUnit val="3"/>
      </c:valAx>
      <c:spPr>
        <a:noFill/>
        <a:ln>
          <a:noFill/>
        </a:ln>
        <a:effectLst/>
      </c:spPr>
    </c:plotArea>
    <c:legend>
      <c:legendPos val="r"/>
      <c:layout>
        <c:manualLayout>
          <c:xMode val="edge"/>
          <c:yMode val="edge"/>
          <c:x val="3.0802669564696064E-4"/>
          <c:y val="2.8580573769742199E-3"/>
          <c:w val="0.76637924610560404"/>
          <c:h val="8.7536759934562697E-2"/>
        </c:manualLayout>
      </c:layout>
      <c:overlay val="0"/>
      <c:spPr>
        <a:noFill/>
        <a:ln>
          <a:noFill/>
        </a:ln>
        <a:effectLst/>
      </c:spPr>
      <c:txPr>
        <a:bodyPr rot="0" spcFirstLastPara="1" vertOverflow="ellipsis" vert="horz" wrap="square" anchor="ctr" anchorCtr="1"/>
        <a:lstStyle/>
        <a:p>
          <a:pPr rtl="0">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M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M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91440355669824E-2"/>
          <c:y val="2.3864739510300937E-3"/>
          <c:w val="0.87723721348018313"/>
          <c:h val="0.63912224726556033"/>
        </c:manualLayout>
      </c:layout>
      <c:barChart>
        <c:barDir val="col"/>
        <c:grouping val="stacked"/>
        <c:varyColors val="0"/>
        <c:ser>
          <c:idx val="0"/>
          <c:order val="0"/>
          <c:tx>
            <c:strRef>
              <c:f>Sheet1!$B$1</c:f>
              <c:strCache>
                <c:ptCount val="1"/>
                <c:pt idx="0">
                  <c:v>Улсын төсөв</c:v>
                </c:pt>
              </c:strCache>
            </c:strRef>
          </c:tx>
          <c:spPr>
            <a:solidFill>
              <a:schemeClr val="accent1">
                <a:lumMod val="50000"/>
              </a:schemeClr>
            </a:solidFill>
            <a:ln>
              <a:noFill/>
            </a:ln>
            <a:effectLst/>
          </c:spPr>
          <c:invertIfNegative val="0"/>
          <c:dLbls>
            <c:dLbl>
              <c:idx val="3"/>
              <c:layout>
                <c:manualLayout>
                  <c:x val="2.3148148148148147E-3"/>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06-4C43-8710-3EDB2E70AB85}"/>
                </c:ext>
              </c:extLst>
            </c:dLbl>
            <c:dLbl>
              <c:idx val="4"/>
              <c:layout>
                <c:manualLayout>
                  <c:x val="-1.6858042802343716E-16"/>
                  <c:y val="-0.112847358923884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06-4C43-8710-3EDB2E70AB85}"/>
                </c:ext>
              </c:extLst>
            </c:dLbl>
            <c:spPr>
              <a:noFill/>
              <a:ln>
                <a:noFill/>
              </a:ln>
              <a:effectLst/>
            </c:spPr>
            <c:txPr>
              <a:bodyPr rot="0" spcFirstLastPara="1" vertOverflow="ellipsis" vert="horz" wrap="square" anchor="ctr" anchorCtr="1"/>
              <a:lstStyle/>
              <a:p>
                <a:pPr>
                  <a:defRPr sz="1050" b="1" i="0" u="none" strike="noStrike" kern="1200" baseline="0">
                    <a:solidFill>
                      <a:schemeClr val="bg1"/>
                    </a:solidFill>
                    <a:latin typeface="Arial" panose="020B0604020202020204" pitchFamily="34" charset="0"/>
                    <a:ea typeface="+mn-ea"/>
                    <a:cs typeface="Arial" panose="020B0604020202020204" pitchFamily="34" charset="0"/>
                  </a:defRPr>
                </a:pPr>
                <a:endParaRPr lang="en-M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2017</c:v>
                </c:pt>
                <c:pt idx="1">
                  <c:v>2018</c:v>
                </c:pt>
                <c:pt idx="2">
                  <c:v>2019</c:v>
                </c:pt>
                <c:pt idx="3">
                  <c:v>2020</c:v>
                </c:pt>
                <c:pt idx="4">
                  <c:v>2021</c:v>
                </c:pt>
              </c:numCache>
            </c:numRef>
          </c:cat>
          <c:val>
            <c:numRef>
              <c:f>Sheet1!$B$2:$B$6</c:f>
              <c:numCache>
                <c:formatCode>General</c:formatCode>
                <c:ptCount val="5"/>
                <c:pt idx="0">
                  <c:v>750.9</c:v>
                </c:pt>
                <c:pt idx="1">
                  <c:v>803.5</c:v>
                </c:pt>
                <c:pt idx="2">
                  <c:v>993.5</c:v>
                </c:pt>
                <c:pt idx="3">
                  <c:v>849.5</c:v>
                </c:pt>
                <c:pt idx="4">
                  <c:v>673.5</c:v>
                </c:pt>
              </c:numCache>
            </c:numRef>
          </c:val>
          <c:extLst>
            <c:ext xmlns:c16="http://schemas.microsoft.com/office/drawing/2014/chart" uri="{C3380CC4-5D6E-409C-BE32-E72D297353CC}">
              <c16:uniqueId val="{00000002-0506-4C43-8710-3EDB2E70AB85}"/>
            </c:ext>
          </c:extLst>
        </c:ser>
        <c:ser>
          <c:idx val="1"/>
          <c:order val="1"/>
          <c:tx>
            <c:strRef>
              <c:f>Sheet1!$C$1</c:f>
              <c:strCache>
                <c:ptCount val="1"/>
                <c:pt idx="0">
                  <c:v>Орон Нутаг</c:v>
                </c:pt>
              </c:strCache>
            </c:strRef>
          </c:tx>
          <c:spPr>
            <a:solidFill>
              <a:srgbClr val="FF0000"/>
            </a:solidFill>
            <a:ln>
              <a:noFill/>
            </a:ln>
            <a:effectLst/>
          </c:spPr>
          <c:invertIfNegative val="0"/>
          <c:dLbls>
            <c:dLbl>
              <c:idx val="1"/>
              <c:layout>
                <c:manualLayout>
                  <c:x val="-1.1574061589904041E-2"/>
                  <c:y val="-2.68201203224509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06-4C43-8710-3EDB2E70AB85}"/>
                </c:ext>
              </c:extLst>
            </c:dLbl>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2017</c:v>
                </c:pt>
                <c:pt idx="1">
                  <c:v>2018</c:v>
                </c:pt>
                <c:pt idx="2">
                  <c:v>2019</c:v>
                </c:pt>
                <c:pt idx="3">
                  <c:v>2020</c:v>
                </c:pt>
                <c:pt idx="4">
                  <c:v>2021</c:v>
                </c:pt>
              </c:numCache>
            </c:numRef>
          </c:cat>
          <c:val>
            <c:numRef>
              <c:f>Sheet1!$C$2:$C$6</c:f>
              <c:numCache>
                <c:formatCode>General</c:formatCode>
                <c:ptCount val="5"/>
                <c:pt idx="0">
                  <c:v>17.3</c:v>
                </c:pt>
                <c:pt idx="1">
                  <c:v>2.5</c:v>
                </c:pt>
                <c:pt idx="2">
                  <c:v>2.2000000000000002</c:v>
                </c:pt>
                <c:pt idx="3">
                  <c:v>0.7</c:v>
                </c:pt>
                <c:pt idx="4">
                  <c:v>0.4</c:v>
                </c:pt>
              </c:numCache>
            </c:numRef>
          </c:val>
          <c:extLst>
            <c:ext xmlns:c16="http://schemas.microsoft.com/office/drawing/2014/chart" uri="{C3380CC4-5D6E-409C-BE32-E72D297353CC}">
              <c16:uniqueId val="{00000004-0506-4C43-8710-3EDB2E70AB85}"/>
            </c:ext>
          </c:extLst>
        </c:ser>
        <c:dLbls>
          <c:showLegendKey val="0"/>
          <c:showVal val="1"/>
          <c:showCatName val="0"/>
          <c:showSerName val="0"/>
          <c:showPercent val="0"/>
          <c:showBubbleSize val="0"/>
        </c:dLbls>
        <c:gapWidth val="138"/>
        <c:overlap val="100"/>
        <c:axId val="1815653535"/>
        <c:axId val="1815638559"/>
      </c:barChart>
      <c:lineChart>
        <c:grouping val="standard"/>
        <c:varyColors val="0"/>
        <c:ser>
          <c:idx val="2"/>
          <c:order val="2"/>
          <c:tx>
            <c:strRef>
              <c:f>Sheet1!$D$1</c:f>
              <c:strCache>
                <c:ptCount val="1"/>
                <c:pt idx="0">
                  <c:v>ЗГ-ын өрд бүртгэлтэй концесс</c:v>
                </c:pt>
              </c:strCache>
            </c:strRef>
          </c:tx>
          <c:spPr>
            <a:ln w="28575" cap="rnd">
              <a:solidFill>
                <a:schemeClr val="accent3"/>
              </a:solidFill>
              <a:round/>
            </a:ln>
            <a:effectLst/>
          </c:spPr>
          <c:marker>
            <c:symbol val="none"/>
          </c:marker>
          <c:dLbls>
            <c:spPr>
              <a:solidFill>
                <a:schemeClr val="accent4"/>
              </a:solidFill>
              <a:ln>
                <a:noFill/>
              </a:ln>
              <a:effectLst/>
            </c:spPr>
            <c:txPr>
              <a:bodyPr rot="0" spcFirstLastPara="1" vertOverflow="ellipsis" vert="horz" wrap="square" anchor="ctr" anchorCtr="1"/>
              <a:lstStyle/>
              <a:p>
                <a:pPr>
                  <a:defRPr sz="1050" b="1"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2017</c:v>
                </c:pt>
                <c:pt idx="1">
                  <c:v>2018</c:v>
                </c:pt>
                <c:pt idx="2">
                  <c:v>2019</c:v>
                </c:pt>
                <c:pt idx="3">
                  <c:v>2020</c:v>
                </c:pt>
                <c:pt idx="4">
                  <c:v>2021</c:v>
                </c:pt>
              </c:numCache>
            </c:numRef>
          </c:cat>
          <c:val>
            <c:numRef>
              <c:f>Sheet1!$D$2:$D$6</c:f>
              <c:numCache>
                <c:formatCode>General</c:formatCode>
                <c:ptCount val="5"/>
                <c:pt idx="0">
                  <c:v>36</c:v>
                </c:pt>
                <c:pt idx="1">
                  <c:v>31</c:v>
                </c:pt>
                <c:pt idx="2">
                  <c:v>23</c:v>
                </c:pt>
                <c:pt idx="3">
                  <c:v>16</c:v>
                </c:pt>
                <c:pt idx="4">
                  <c:v>13</c:v>
                </c:pt>
              </c:numCache>
            </c:numRef>
          </c:val>
          <c:smooth val="0"/>
          <c:extLst>
            <c:ext xmlns:c16="http://schemas.microsoft.com/office/drawing/2014/chart" uri="{C3380CC4-5D6E-409C-BE32-E72D297353CC}">
              <c16:uniqueId val="{00000005-0506-4C43-8710-3EDB2E70AB85}"/>
            </c:ext>
          </c:extLst>
        </c:ser>
        <c:dLbls>
          <c:showLegendKey val="0"/>
          <c:showVal val="1"/>
          <c:showCatName val="0"/>
          <c:showSerName val="0"/>
          <c:showPercent val="0"/>
          <c:showBubbleSize val="0"/>
        </c:dLbls>
        <c:marker val="1"/>
        <c:smooth val="0"/>
        <c:axId val="1815648127"/>
        <c:axId val="1815642303"/>
      </c:lineChart>
      <c:catAx>
        <c:axId val="1815653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crossAx val="1815638559"/>
        <c:crosses val="autoZero"/>
        <c:auto val="1"/>
        <c:lblAlgn val="ctr"/>
        <c:lblOffset val="100"/>
        <c:noMultiLvlLbl val="0"/>
      </c:catAx>
      <c:valAx>
        <c:axId val="181563855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crossAx val="1815653535"/>
        <c:crosses val="autoZero"/>
        <c:crossBetween val="between"/>
      </c:valAx>
      <c:valAx>
        <c:axId val="1815642303"/>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crossAx val="1815648127"/>
        <c:crosses val="max"/>
        <c:crossBetween val="between"/>
      </c:valAx>
      <c:catAx>
        <c:axId val="1815648127"/>
        <c:scaling>
          <c:orientation val="minMax"/>
        </c:scaling>
        <c:delete val="1"/>
        <c:axPos val="b"/>
        <c:numFmt formatCode="General" sourceLinked="1"/>
        <c:majorTickMark val="out"/>
        <c:minorTickMark val="none"/>
        <c:tickLblPos val="nextTo"/>
        <c:crossAx val="1815642303"/>
        <c:crosses val="autoZero"/>
        <c:auto val="1"/>
        <c:lblAlgn val="ctr"/>
        <c:lblOffset val="100"/>
        <c:noMultiLvlLbl val="0"/>
      </c:catAx>
      <c:spPr>
        <a:noFill/>
        <a:ln>
          <a:noFill/>
        </a:ln>
        <a:effectLst/>
      </c:spPr>
    </c:plotArea>
    <c:legend>
      <c:legendPos val="b"/>
      <c:layout>
        <c:manualLayout>
          <c:xMode val="edge"/>
          <c:yMode val="edge"/>
          <c:x val="1.9263643768666849E-2"/>
          <c:y val="0.80904409253676002"/>
          <c:w val="0.96497726243389426"/>
          <c:h val="8.1909840951156013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chemeClr val="tx1"/>
          </a:solidFill>
          <a:latin typeface="Arial" panose="020B0604020202020204" pitchFamily="34" charset="0"/>
          <a:cs typeface="Arial" panose="020B0604020202020204" pitchFamily="34" charset="0"/>
        </a:defRPr>
      </a:pPr>
      <a:endParaRPr lang="en-M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Чингис</c:v>
                </c:pt>
              </c:strCache>
            </c:strRef>
          </c:tx>
          <c:spPr>
            <a:ln w="12700" cap="rnd">
              <a:solidFill>
                <a:schemeClr val="accent1"/>
              </a:solidFill>
              <a:round/>
            </a:ln>
            <a:effectLst/>
          </c:spPr>
          <c:marker>
            <c:symbol val="triangle"/>
            <c:size val="5"/>
            <c:spPr>
              <a:solidFill>
                <a:schemeClr val="accent1"/>
              </a:solidFill>
              <a:ln w="9525">
                <a:solidFill>
                  <a:schemeClr val="accent1"/>
                </a:solidFill>
              </a:ln>
              <a:effectLst/>
            </c:spPr>
          </c:marker>
          <c:cat>
            <c:numRef>
              <c:f>Sheet1!$A$2:$A$37</c:f>
              <c:numCache>
                <c:formatCode>m/d/yyyy</c:formatCode>
                <c:ptCount val="36"/>
                <c:pt idx="0">
                  <c:v>44362</c:v>
                </c:pt>
                <c:pt idx="1">
                  <c:v>44344</c:v>
                </c:pt>
                <c:pt idx="2">
                  <c:v>44316</c:v>
                </c:pt>
                <c:pt idx="3">
                  <c:v>44281</c:v>
                </c:pt>
                <c:pt idx="4">
                  <c:v>44253</c:v>
                </c:pt>
                <c:pt idx="5">
                  <c:v>44225</c:v>
                </c:pt>
                <c:pt idx="6">
                  <c:v>44190</c:v>
                </c:pt>
                <c:pt idx="7">
                  <c:v>44162</c:v>
                </c:pt>
                <c:pt idx="8">
                  <c:v>44134</c:v>
                </c:pt>
                <c:pt idx="9">
                  <c:v>44099</c:v>
                </c:pt>
                <c:pt idx="10">
                  <c:v>44071</c:v>
                </c:pt>
                <c:pt idx="11">
                  <c:v>44043</c:v>
                </c:pt>
                <c:pt idx="12">
                  <c:v>44008</c:v>
                </c:pt>
                <c:pt idx="13">
                  <c:v>43980</c:v>
                </c:pt>
                <c:pt idx="14">
                  <c:v>43945</c:v>
                </c:pt>
                <c:pt idx="15">
                  <c:v>43917</c:v>
                </c:pt>
                <c:pt idx="16">
                  <c:v>43889</c:v>
                </c:pt>
                <c:pt idx="17">
                  <c:v>43861</c:v>
                </c:pt>
                <c:pt idx="18">
                  <c:v>43826</c:v>
                </c:pt>
                <c:pt idx="19">
                  <c:v>43798</c:v>
                </c:pt>
                <c:pt idx="20">
                  <c:v>43763</c:v>
                </c:pt>
                <c:pt idx="21">
                  <c:v>43735</c:v>
                </c:pt>
                <c:pt idx="22">
                  <c:v>43707</c:v>
                </c:pt>
                <c:pt idx="23">
                  <c:v>43672</c:v>
                </c:pt>
                <c:pt idx="24">
                  <c:v>43644</c:v>
                </c:pt>
                <c:pt idx="25">
                  <c:v>43616</c:v>
                </c:pt>
                <c:pt idx="26">
                  <c:v>43581</c:v>
                </c:pt>
                <c:pt idx="27">
                  <c:v>43553</c:v>
                </c:pt>
                <c:pt idx="28">
                  <c:v>43518</c:v>
                </c:pt>
                <c:pt idx="29">
                  <c:v>43490</c:v>
                </c:pt>
                <c:pt idx="30">
                  <c:v>44407</c:v>
                </c:pt>
                <c:pt idx="31">
                  <c:v>44439</c:v>
                </c:pt>
                <c:pt idx="32">
                  <c:v>44469</c:v>
                </c:pt>
                <c:pt idx="33">
                  <c:v>44498</c:v>
                </c:pt>
                <c:pt idx="34">
                  <c:v>44530</c:v>
                </c:pt>
                <c:pt idx="35">
                  <c:v>44561</c:v>
                </c:pt>
              </c:numCache>
            </c:numRef>
          </c:cat>
          <c:val>
            <c:numRef>
              <c:f>Sheet1!$B$2:$B$37</c:f>
              <c:numCache>
                <c:formatCode>General</c:formatCode>
                <c:ptCount val="36"/>
                <c:pt idx="0">
                  <c:v>2.3740000000000001</c:v>
                </c:pt>
                <c:pt idx="1">
                  <c:v>2.605</c:v>
                </c:pt>
                <c:pt idx="2">
                  <c:v>2.8410000000000002</c:v>
                </c:pt>
                <c:pt idx="3">
                  <c:v>3.22</c:v>
                </c:pt>
                <c:pt idx="4">
                  <c:v>3.036</c:v>
                </c:pt>
                <c:pt idx="5">
                  <c:v>3.4</c:v>
                </c:pt>
                <c:pt idx="6">
                  <c:v>3.1589999999999998</c:v>
                </c:pt>
                <c:pt idx="7">
                  <c:v>3.359</c:v>
                </c:pt>
                <c:pt idx="8">
                  <c:v>3.8330000000000002</c:v>
                </c:pt>
                <c:pt idx="9">
                  <c:v>4.194</c:v>
                </c:pt>
                <c:pt idx="10">
                  <c:v>4.28</c:v>
                </c:pt>
                <c:pt idx="11">
                  <c:v>4.9130000000000003</c:v>
                </c:pt>
                <c:pt idx="12">
                  <c:v>5.5910000000000002</c:v>
                </c:pt>
                <c:pt idx="13">
                  <c:v>7.5389999999999997</c:v>
                </c:pt>
                <c:pt idx="14">
                  <c:v>9.5730000000000004</c:v>
                </c:pt>
                <c:pt idx="15">
                  <c:v>10.875</c:v>
                </c:pt>
                <c:pt idx="16">
                  <c:v>5.2850000000000001</c:v>
                </c:pt>
                <c:pt idx="17">
                  <c:v>4.5430000000000001</c:v>
                </c:pt>
                <c:pt idx="18">
                  <c:v>4.3659999999999997</c:v>
                </c:pt>
                <c:pt idx="19">
                  <c:v>4.5430000000000001</c:v>
                </c:pt>
                <c:pt idx="20">
                  <c:v>4.944</c:v>
                </c:pt>
                <c:pt idx="21">
                  <c:v>5.2350000000000003</c:v>
                </c:pt>
                <c:pt idx="22">
                  <c:v>5.2469999999999999</c:v>
                </c:pt>
                <c:pt idx="23">
                  <c:v>4.8819999999999997</c:v>
                </c:pt>
                <c:pt idx="24">
                  <c:v>4.875</c:v>
                </c:pt>
                <c:pt idx="25">
                  <c:v>5.5970000000000004</c:v>
                </c:pt>
                <c:pt idx="26">
                  <c:v>5.6909999999999998</c:v>
                </c:pt>
                <c:pt idx="27">
                  <c:v>5.17</c:v>
                </c:pt>
                <c:pt idx="28">
                  <c:v>5.3040000000000003</c:v>
                </c:pt>
                <c:pt idx="29">
                  <c:v>5.8869999999999996</c:v>
                </c:pt>
              </c:numCache>
            </c:numRef>
          </c:val>
          <c:smooth val="0"/>
          <c:extLst>
            <c:ext xmlns:c16="http://schemas.microsoft.com/office/drawing/2014/chart" uri="{C3380CC4-5D6E-409C-BE32-E72D297353CC}">
              <c16:uniqueId val="{00000000-E6CC-D14D-BDC8-5B62D6667CA0}"/>
            </c:ext>
          </c:extLst>
        </c:ser>
        <c:ser>
          <c:idx val="1"/>
          <c:order val="1"/>
          <c:tx>
            <c:strRef>
              <c:f>Sheet1!$C$1</c:f>
              <c:strCache>
                <c:ptCount val="1"/>
                <c:pt idx="0">
                  <c:v>Гэрэгэ</c:v>
                </c:pt>
              </c:strCache>
            </c:strRef>
          </c:tx>
          <c:spPr>
            <a:ln w="12700" cap="rnd">
              <a:solidFill>
                <a:schemeClr val="accent2"/>
              </a:solidFill>
              <a:round/>
            </a:ln>
            <a:effectLst/>
          </c:spPr>
          <c:marker>
            <c:symbol val="square"/>
            <c:size val="6"/>
            <c:spPr>
              <a:solidFill>
                <a:schemeClr val="accent2"/>
              </a:solidFill>
              <a:ln w="9525">
                <a:solidFill>
                  <a:schemeClr val="accent2"/>
                </a:solidFill>
              </a:ln>
              <a:effectLst/>
            </c:spPr>
          </c:marker>
          <c:dLbls>
            <c:dLbl>
              <c:idx val="35"/>
              <c:layout>
                <c:manualLayout>
                  <c:x val="-1.5088988928023694E-16"/>
                  <c:y val="6.1916284854637071E-2"/>
                </c:manualLayout>
              </c:layout>
              <c:tx>
                <c:rich>
                  <a:bodyPr/>
                  <a:lstStyle/>
                  <a:p>
                    <a:r>
                      <a:rPr lang="mn-MN"/>
                      <a:t>Гэрэгэ</a:t>
                    </a:r>
                  </a:p>
                  <a:p>
                    <a:fld id="{53CA0C6D-810D-4E5A-A8DE-77214FF067DA}" type="VALUE">
                      <a:rPr lang="en-US"/>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6CC-D14D-BDC8-5B62D6667CA0}"/>
                </c:ext>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accent2"/>
                    </a:solidFill>
                    <a:latin typeface="Arial" panose="020B0604020202020204" pitchFamily="34" charset="0"/>
                    <a:ea typeface="+mn-ea"/>
                    <a:cs typeface="Arial" panose="020B0604020202020204" pitchFamily="34" charset="0"/>
                  </a:defRPr>
                </a:pPr>
                <a:endParaRPr lang="en-MN"/>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Sheet1!$A$2:$A$37</c:f>
              <c:numCache>
                <c:formatCode>m/d/yyyy</c:formatCode>
                <c:ptCount val="36"/>
                <c:pt idx="0">
                  <c:v>44362</c:v>
                </c:pt>
                <c:pt idx="1">
                  <c:v>44344</c:v>
                </c:pt>
                <c:pt idx="2">
                  <c:v>44316</c:v>
                </c:pt>
                <c:pt idx="3">
                  <c:v>44281</c:v>
                </c:pt>
                <c:pt idx="4">
                  <c:v>44253</c:v>
                </c:pt>
                <c:pt idx="5">
                  <c:v>44225</c:v>
                </c:pt>
                <c:pt idx="6">
                  <c:v>44190</c:v>
                </c:pt>
                <c:pt idx="7">
                  <c:v>44162</c:v>
                </c:pt>
                <c:pt idx="8">
                  <c:v>44134</c:v>
                </c:pt>
                <c:pt idx="9">
                  <c:v>44099</c:v>
                </c:pt>
                <c:pt idx="10">
                  <c:v>44071</c:v>
                </c:pt>
                <c:pt idx="11">
                  <c:v>44043</c:v>
                </c:pt>
                <c:pt idx="12">
                  <c:v>44008</c:v>
                </c:pt>
                <c:pt idx="13">
                  <c:v>43980</c:v>
                </c:pt>
                <c:pt idx="14">
                  <c:v>43945</c:v>
                </c:pt>
                <c:pt idx="15">
                  <c:v>43917</c:v>
                </c:pt>
                <c:pt idx="16">
                  <c:v>43889</c:v>
                </c:pt>
                <c:pt idx="17">
                  <c:v>43861</c:v>
                </c:pt>
                <c:pt idx="18">
                  <c:v>43826</c:v>
                </c:pt>
                <c:pt idx="19">
                  <c:v>43798</c:v>
                </c:pt>
                <c:pt idx="20">
                  <c:v>43763</c:v>
                </c:pt>
                <c:pt idx="21">
                  <c:v>43735</c:v>
                </c:pt>
                <c:pt idx="22">
                  <c:v>43707</c:v>
                </c:pt>
                <c:pt idx="23">
                  <c:v>43672</c:v>
                </c:pt>
                <c:pt idx="24">
                  <c:v>43644</c:v>
                </c:pt>
                <c:pt idx="25">
                  <c:v>43616</c:v>
                </c:pt>
                <c:pt idx="26">
                  <c:v>43581</c:v>
                </c:pt>
                <c:pt idx="27">
                  <c:v>43553</c:v>
                </c:pt>
                <c:pt idx="28">
                  <c:v>43518</c:v>
                </c:pt>
                <c:pt idx="29">
                  <c:v>43490</c:v>
                </c:pt>
                <c:pt idx="30">
                  <c:v>44407</c:v>
                </c:pt>
                <c:pt idx="31">
                  <c:v>44439</c:v>
                </c:pt>
                <c:pt idx="32">
                  <c:v>44469</c:v>
                </c:pt>
                <c:pt idx="33">
                  <c:v>44498</c:v>
                </c:pt>
                <c:pt idx="34">
                  <c:v>44530</c:v>
                </c:pt>
                <c:pt idx="35">
                  <c:v>44561</c:v>
                </c:pt>
              </c:numCache>
            </c:numRef>
          </c:cat>
          <c:val>
            <c:numRef>
              <c:f>Sheet1!$C$2:$C$37</c:f>
              <c:numCache>
                <c:formatCode>General</c:formatCode>
                <c:ptCount val="36"/>
                <c:pt idx="0">
                  <c:v>2.7490000000000001</c:v>
                </c:pt>
                <c:pt idx="1">
                  <c:v>2.899</c:v>
                </c:pt>
                <c:pt idx="2">
                  <c:v>3.032</c:v>
                </c:pt>
                <c:pt idx="3">
                  <c:v>3.323</c:v>
                </c:pt>
                <c:pt idx="4">
                  <c:v>3.0019999999999998</c:v>
                </c:pt>
                <c:pt idx="5">
                  <c:v>3.4510000000000001</c:v>
                </c:pt>
                <c:pt idx="6">
                  <c:v>3.2509999999999999</c:v>
                </c:pt>
                <c:pt idx="7">
                  <c:v>3.51</c:v>
                </c:pt>
                <c:pt idx="8">
                  <c:v>3.948</c:v>
                </c:pt>
                <c:pt idx="9">
                  <c:v>4.5250000000000004</c:v>
                </c:pt>
                <c:pt idx="10">
                  <c:v>4.375</c:v>
                </c:pt>
                <c:pt idx="11">
                  <c:v>5.0609999999999999</c:v>
                </c:pt>
                <c:pt idx="12">
                  <c:v>5.7130000000000001</c:v>
                </c:pt>
                <c:pt idx="13">
                  <c:v>7.7619999999999996</c:v>
                </c:pt>
                <c:pt idx="14">
                  <c:v>9.5050000000000008</c:v>
                </c:pt>
                <c:pt idx="15">
                  <c:v>10.446</c:v>
                </c:pt>
                <c:pt idx="16">
                  <c:v>5.5119999999999996</c:v>
                </c:pt>
                <c:pt idx="17">
                  <c:v>4.8680000000000003</c:v>
                </c:pt>
                <c:pt idx="18">
                  <c:v>4.6159999999999997</c:v>
                </c:pt>
                <c:pt idx="19">
                  <c:v>4.8490000000000002</c:v>
                </c:pt>
                <c:pt idx="20">
                  <c:v>5.173</c:v>
                </c:pt>
                <c:pt idx="21">
                  <c:v>5.3129999999999997</c:v>
                </c:pt>
                <c:pt idx="22">
                  <c:v>5.4359999999999999</c:v>
                </c:pt>
                <c:pt idx="23">
                  <c:v>5.0380000000000003</c:v>
                </c:pt>
                <c:pt idx="24">
                  <c:v>5.1219999999999999</c:v>
                </c:pt>
                <c:pt idx="25">
                  <c:v>5.9770000000000003</c:v>
                </c:pt>
                <c:pt idx="26">
                  <c:v>6.048</c:v>
                </c:pt>
                <c:pt idx="27">
                  <c:v>5.4139999999999997</c:v>
                </c:pt>
                <c:pt idx="28">
                  <c:v>5.7249999999999996</c:v>
                </c:pt>
                <c:pt idx="29">
                  <c:v>6.0750000000000002</c:v>
                </c:pt>
                <c:pt idx="30">
                  <c:v>3.024</c:v>
                </c:pt>
                <c:pt idx="31">
                  <c:v>2.8959999999999999</c:v>
                </c:pt>
                <c:pt idx="32">
                  <c:v>3.0329999999999999</c:v>
                </c:pt>
                <c:pt idx="33">
                  <c:v>2.657</c:v>
                </c:pt>
                <c:pt idx="34">
                  <c:v>3.4169999999999998</c:v>
                </c:pt>
                <c:pt idx="35">
                  <c:v>3.609</c:v>
                </c:pt>
              </c:numCache>
            </c:numRef>
          </c:val>
          <c:smooth val="0"/>
          <c:extLst>
            <c:ext xmlns:c16="http://schemas.microsoft.com/office/drawing/2014/chart" uri="{C3380CC4-5D6E-409C-BE32-E72D297353CC}">
              <c16:uniqueId val="{00000002-E6CC-D14D-BDC8-5B62D6667CA0}"/>
            </c:ext>
          </c:extLst>
        </c:ser>
        <c:ser>
          <c:idx val="2"/>
          <c:order val="2"/>
          <c:tx>
            <c:strRef>
              <c:f>Sheet1!$D$1</c:f>
              <c:strCache>
                <c:ptCount val="1"/>
                <c:pt idx="0">
                  <c:v>Хуралдай</c:v>
                </c:pt>
              </c:strCache>
            </c:strRef>
          </c:tx>
          <c:spPr>
            <a:ln w="12700" cap="rnd">
              <a:solidFill>
                <a:schemeClr val="accent3"/>
              </a:solidFill>
              <a:round/>
            </a:ln>
            <a:effectLst/>
          </c:spPr>
          <c:marker>
            <c:symbol val="triangle"/>
            <c:size val="6"/>
            <c:spPr>
              <a:solidFill>
                <a:schemeClr val="accent3"/>
              </a:solidFill>
              <a:ln w="9525">
                <a:solidFill>
                  <a:schemeClr val="accent3"/>
                </a:solidFill>
              </a:ln>
              <a:effectLst/>
            </c:spPr>
          </c:marker>
          <c:dLbls>
            <c:dLbl>
              <c:idx val="35"/>
              <c:layout>
                <c:manualLayout>
                  <c:x val="-1.1251255630083277E-3"/>
                  <c:y val="-7.7456537445014489E-2"/>
                </c:manualLayout>
              </c:layout>
              <c:tx>
                <c:rich>
                  <a:bodyPr rot="0" spcFirstLastPara="1" vertOverflow="ellipsis" vert="horz" wrap="square" lIns="38100" tIns="19050" rIns="38100" bIns="19050" anchor="ctr" anchorCtr="1">
                    <a:spAutoFit/>
                  </a:bodyPr>
                  <a:lstStyle/>
                  <a:p>
                    <a:pPr>
                      <a:defRPr sz="600" b="1" i="0" u="none" strike="noStrike" kern="1200" baseline="0">
                        <a:solidFill>
                          <a:schemeClr val="bg2">
                            <a:lumMod val="50000"/>
                          </a:schemeClr>
                        </a:solidFill>
                        <a:latin typeface="Arial" panose="020B0604020202020204" pitchFamily="34" charset="0"/>
                        <a:ea typeface="+mn-ea"/>
                        <a:cs typeface="Arial" panose="020B0604020202020204" pitchFamily="34" charset="0"/>
                      </a:defRPr>
                    </a:pPr>
                    <a:r>
                      <a:rPr lang="mn-MN" sz="600">
                        <a:solidFill>
                          <a:schemeClr val="bg2">
                            <a:lumMod val="50000"/>
                          </a:schemeClr>
                        </a:solidFill>
                      </a:rPr>
                      <a:t>Хуралдай</a:t>
                    </a:r>
                  </a:p>
                  <a:p>
                    <a:pPr>
                      <a:defRPr sz="600" b="1">
                        <a:solidFill>
                          <a:schemeClr val="bg2">
                            <a:lumMod val="50000"/>
                          </a:schemeClr>
                        </a:solidFill>
                      </a:defRPr>
                    </a:pPr>
                    <a:fld id="{71DE2030-FDE7-447C-8C62-51A09DBB2CA0}" type="VALUE">
                      <a:rPr lang="en-US" sz="600">
                        <a:solidFill>
                          <a:schemeClr val="bg2">
                            <a:lumMod val="50000"/>
                          </a:schemeClr>
                        </a:solidFill>
                      </a:rPr>
                      <a:pPr>
                        <a:defRPr sz="600" b="1">
                          <a:solidFill>
                            <a:schemeClr val="bg2">
                              <a:lumMod val="50000"/>
                            </a:schemeClr>
                          </a:solidFill>
                        </a:defRPr>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bg2">
                          <a:lumMod val="50000"/>
                        </a:schemeClr>
                      </a:solidFill>
                      <a:latin typeface="Arial" panose="020B0604020202020204" pitchFamily="34" charset="0"/>
                      <a:ea typeface="+mn-ea"/>
                      <a:cs typeface="Arial" panose="020B0604020202020204" pitchFamily="34" charset="0"/>
                    </a:defRPr>
                  </a:pPr>
                  <a:endParaRPr lang="en-MN"/>
                </a:p>
              </c:txPr>
              <c:dLblPos val="r"/>
              <c:showLegendKey val="0"/>
              <c:showVal val="1"/>
              <c:showCatName val="0"/>
              <c:showSerName val="0"/>
              <c:showPercent val="0"/>
              <c:showBubbleSize val="0"/>
              <c:extLst>
                <c:ext xmlns:c15="http://schemas.microsoft.com/office/drawing/2012/chart" uri="{CE6537A1-D6FC-4f65-9D91-7224C49458BB}">
                  <c15:layout>
                    <c:manualLayout>
                      <c:w val="7.4878973461650622E-2"/>
                      <c:h val="0.11005807200929152"/>
                    </c:manualLayout>
                  </c15:layout>
                  <c15:dlblFieldTable/>
                  <c15:showDataLabelsRange val="0"/>
                </c:ext>
                <c:ext xmlns:c16="http://schemas.microsoft.com/office/drawing/2014/chart" uri="{C3380CC4-5D6E-409C-BE32-E72D297353CC}">
                  <c16:uniqueId val="{00000003-E6CC-D14D-BDC8-5B62D6667CA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2">
                        <a:lumMod val="50000"/>
                      </a:schemeClr>
                    </a:solidFill>
                    <a:latin typeface="Arial" panose="020B0604020202020204" pitchFamily="34" charset="0"/>
                    <a:ea typeface="+mn-ea"/>
                    <a:cs typeface="Arial" panose="020B0604020202020204" pitchFamily="34" charset="0"/>
                  </a:defRPr>
                </a:pPr>
                <a:endParaRPr lang="en-MN"/>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Sheet1!$A$2:$A$37</c:f>
              <c:numCache>
                <c:formatCode>m/d/yyyy</c:formatCode>
                <c:ptCount val="36"/>
                <c:pt idx="0">
                  <c:v>44362</c:v>
                </c:pt>
                <c:pt idx="1">
                  <c:v>44344</c:v>
                </c:pt>
                <c:pt idx="2">
                  <c:v>44316</c:v>
                </c:pt>
                <c:pt idx="3">
                  <c:v>44281</c:v>
                </c:pt>
                <c:pt idx="4">
                  <c:v>44253</c:v>
                </c:pt>
                <c:pt idx="5">
                  <c:v>44225</c:v>
                </c:pt>
                <c:pt idx="6">
                  <c:v>44190</c:v>
                </c:pt>
                <c:pt idx="7">
                  <c:v>44162</c:v>
                </c:pt>
                <c:pt idx="8">
                  <c:v>44134</c:v>
                </c:pt>
                <c:pt idx="9">
                  <c:v>44099</c:v>
                </c:pt>
                <c:pt idx="10">
                  <c:v>44071</c:v>
                </c:pt>
                <c:pt idx="11">
                  <c:v>44043</c:v>
                </c:pt>
                <c:pt idx="12">
                  <c:v>44008</c:v>
                </c:pt>
                <c:pt idx="13">
                  <c:v>43980</c:v>
                </c:pt>
                <c:pt idx="14">
                  <c:v>43945</c:v>
                </c:pt>
                <c:pt idx="15">
                  <c:v>43917</c:v>
                </c:pt>
                <c:pt idx="16">
                  <c:v>43889</c:v>
                </c:pt>
                <c:pt idx="17">
                  <c:v>43861</c:v>
                </c:pt>
                <c:pt idx="18">
                  <c:v>43826</c:v>
                </c:pt>
                <c:pt idx="19">
                  <c:v>43798</c:v>
                </c:pt>
                <c:pt idx="20">
                  <c:v>43763</c:v>
                </c:pt>
                <c:pt idx="21">
                  <c:v>43735</c:v>
                </c:pt>
                <c:pt idx="22">
                  <c:v>43707</c:v>
                </c:pt>
                <c:pt idx="23">
                  <c:v>43672</c:v>
                </c:pt>
                <c:pt idx="24">
                  <c:v>43644</c:v>
                </c:pt>
                <c:pt idx="25">
                  <c:v>43616</c:v>
                </c:pt>
                <c:pt idx="26">
                  <c:v>43581</c:v>
                </c:pt>
                <c:pt idx="27">
                  <c:v>43553</c:v>
                </c:pt>
                <c:pt idx="28">
                  <c:v>43518</c:v>
                </c:pt>
                <c:pt idx="29">
                  <c:v>43490</c:v>
                </c:pt>
                <c:pt idx="30">
                  <c:v>44407</c:v>
                </c:pt>
                <c:pt idx="31">
                  <c:v>44439</c:v>
                </c:pt>
                <c:pt idx="32">
                  <c:v>44469</c:v>
                </c:pt>
                <c:pt idx="33">
                  <c:v>44498</c:v>
                </c:pt>
                <c:pt idx="34">
                  <c:v>44530</c:v>
                </c:pt>
                <c:pt idx="35">
                  <c:v>44561</c:v>
                </c:pt>
              </c:numCache>
            </c:numRef>
          </c:cat>
          <c:val>
            <c:numRef>
              <c:f>Sheet1!$D$2:$D$37</c:f>
              <c:numCache>
                <c:formatCode>General</c:formatCode>
                <c:ptCount val="36"/>
                <c:pt idx="0">
                  <c:v>3.056</c:v>
                </c:pt>
                <c:pt idx="1">
                  <c:v>3.1880000000000002</c:v>
                </c:pt>
                <c:pt idx="2">
                  <c:v>3.0459999999999998</c:v>
                </c:pt>
                <c:pt idx="3">
                  <c:v>3.3069999999999999</c:v>
                </c:pt>
                <c:pt idx="4">
                  <c:v>3.0619999999999998</c:v>
                </c:pt>
                <c:pt idx="5">
                  <c:v>3.4009999999999998</c:v>
                </c:pt>
                <c:pt idx="6">
                  <c:v>3.387</c:v>
                </c:pt>
                <c:pt idx="7">
                  <c:v>3.8119999999999998</c:v>
                </c:pt>
                <c:pt idx="8">
                  <c:v>4.2409999999999997</c:v>
                </c:pt>
                <c:pt idx="9">
                  <c:v>5.0549999999999997</c:v>
                </c:pt>
                <c:pt idx="10">
                  <c:v>4.8860000000000001</c:v>
                </c:pt>
                <c:pt idx="11">
                  <c:v>5.6440000000000001</c:v>
                </c:pt>
                <c:pt idx="12">
                  <c:v>6.4669999999999996</c:v>
                </c:pt>
                <c:pt idx="13">
                  <c:v>8.6489999999999991</c:v>
                </c:pt>
                <c:pt idx="14">
                  <c:v>9.2769999999999992</c:v>
                </c:pt>
                <c:pt idx="15">
                  <c:v>10.926</c:v>
                </c:pt>
                <c:pt idx="16">
                  <c:v>5.7290000000000001</c:v>
                </c:pt>
                <c:pt idx="17">
                  <c:v>5.1849999999999996</c:v>
                </c:pt>
                <c:pt idx="18">
                  <c:v>5.1189999999999998</c:v>
                </c:pt>
                <c:pt idx="19">
                  <c:v>5.3659999999999997</c:v>
                </c:pt>
                <c:pt idx="20">
                  <c:v>5.53</c:v>
                </c:pt>
                <c:pt idx="21">
                  <c:v>5.7039999999999997</c:v>
                </c:pt>
                <c:pt idx="22">
                  <c:v>5.9059999999999997</c:v>
                </c:pt>
                <c:pt idx="23">
                  <c:v>5.4279999999999999</c:v>
                </c:pt>
                <c:pt idx="24">
                  <c:v>5.5810000000000004</c:v>
                </c:pt>
                <c:pt idx="25">
                  <c:v>6.2309999999999999</c:v>
                </c:pt>
                <c:pt idx="26">
                  <c:v>6.2169999999999996</c:v>
                </c:pt>
                <c:pt idx="27">
                  <c:v>5.8319999999999999</c:v>
                </c:pt>
                <c:pt idx="28">
                  <c:v>6.0990000000000002</c:v>
                </c:pt>
                <c:pt idx="29">
                  <c:v>6.5449999999999999</c:v>
                </c:pt>
                <c:pt idx="30">
                  <c:v>2.613</c:v>
                </c:pt>
                <c:pt idx="31">
                  <c:v>2.52</c:v>
                </c:pt>
                <c:pt idx="32">
                  <c:v>2.4279999999999999</c:v>
                </c:pt>
                <c:pt idx="33">
                  <c:v>3.0609999999999999</c:v>
                </c:pt>
                <c:pt idx="34">
                  <c:v>3.9249999999999998</c:v>
                </c:pt>
                <c:pt idx="35">
                  <c:v>3.8879999999999999</c:v>
                </c:pt>
              </c:numCache>
            </c:numRef>
          </c:val>
          <c:smooth val="0"/>
          <c:extLst>
            <c:ext xmlns:c16="http://schemas.microsoft.com/office/drawing/2014/chart" uri="{C3380CC4-5D6E-409C-BE32-E72D297353CC}">
              <c16:uniqueId val="{00000004-E6CC-D14D-BDC8-5B62D6667CA0}"/>
            </c:ext>
          </c:extLst>
        </c:ser>
        <c:ser>
          <c:idx val="3"/>
          <c:order val="3"/>
          <c:tx>
            <c:strRef>
              <c:f>Sheet1!$E$1</c:f>
              <c:strCache>
                <c:ptCount val="1"/>
                <c:pt idx="0">
                  <c:v>Номад</c:v>
                </c:pt>
              </c:strCache>
            </c:strRef>
          </c:tx>
          <c:spPr>
            <a:ln w="12700" cap="rnd">
              <a:solidFill>
                <a:schemeClr val="accent4"/>
              </a:solidFill>
              <a:round/>
            </a:ln>
            <a:effectLst/>
          </c:spPr>
          <c:marker>
            <c:symbol val="diamond"/>
            <c:size val="6"/>
            <c:spPr>
              <a:solidFill>
                <a:schemeClr val="accent4"/>
              </a:solidFill>
              <a:ln w="9525">
                <a:solidFill>
                  <a:schemeClr val="accent4"/>
                </a:solidFill>
              </a:ln>
              <a:effectLst/>
            </c:spPr>
          </c:marker>
          <c:dLbls>
            <c:dLbl>
              <c:idx val="35"/>
              <c:layout>
                <c:manualLayout>
                  <c:x val="-4.11522633744856E-3"/>
                  <c:y val="-0.10997686264826653"/>
                </c:manualLayout>
              </c:layout>
              <c:tx>
                <c:rich>
                  <a:bodyPr rot="0" spcFirstLastPara="1" vertOverflow="ellipsis" vert="horz" wrap="square" lIns="38100" tIns="19050" rIns="38100" bIns="19050" anchor="ctr" anchorCtr="1">
                    <a:spAutoFit/>
                  </a:bodyPr>
                  <a:lstStyle/>
                  <a:p>
                    <a:pPr>
                      <a:defRPr sz="600" b="1" i="0" u="none" strike="noStrike" kern="1200" baseline="0">
                        <a:solidFill>
                          <a:schemeClr val="accent4">
                            <a:lumMod val="75000"/>
                          </a:schemeClr>
                        </a:solidFill>
                        <a:latin typeface="Arial" panose="020B0604020202020204" pitchFamily="34" charset="0"/>
                        <a:ea typeface="+mn-ea"/>
                        <a:cs typeface="Arial" panose="020B0604020202020204" pitchFamily="34" charset="0"/>
                      </a:defRPr>
                    </a:pPr>
                    <a:r>
                      <a:rPr lang="mn-MN" sz="600" b="1">
                        <a:solidFill>
                          <a:schemeClr val="accent4">
                            <a:lumMod val="75000"/>
                          </a:schemeClr>
                        </a:solidFill>
                      </a:rPr>
                      <a:t>Номад</a:t>
                    </a:r>
                  </a:p>
                  <a:p>
                    <a:pPr>
                      <a:defRPr sz="600" b="1">
                        <a:solidFill>
                          <a:schemeClr val="accent4">
                            <a:lumMod val="75000"/>
                          </a:schemeClr>
                        </a:solidFill>
                      </a:defRPr>
                    </a:pPr>
                    <a:fld id="{D7946A94-6514-4BAC-BF01-660E07D1B6D9}" type="VALUE">
                      <a:rPr lang="en-US" sz="600" b="1">
                        <a:solidFill>
                          <a:schemeClr val="accent4">
                            <a:lumMod val="75000"/>
                          </a:schemeClr>
                        </a:solidFill>
                      </a:rPr>
                      <a:pPr>
                        <a:defRPr sz="600" b="1">
                          <a:solidFill>
                            <a:schemeClr val="accent4">
                              <a:lumMod val="75000"/>
                            </a:schemeClr>
                          </a:solidFill>
                        </a:defRPr>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accent4">
                          <a:lumMod val="75000"/>
                        </a:schemeClr>
                      </a:solidFill>
                      <a:latin typeface="Arial" panose="020B0604020202020204" pitchFamily="34" charset="0"/>
                      <a:ea typeface="+mn-ea"/>
                      <a:cs typeface="Arial" panose="020B0604020202020204" pitchFamily="34" charset="0"/>
                    </a:defRPr>
                  </a:pPr>
                  <a:endParaRPr lang="en-MN"/>
                </a:p>
              </c:txPr>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6CC-D14D-BDC8-5B62D6667CA0}"/>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accent4">
                        <a:lumMod val="75000"/>
                      </a:schemeClr>
                    </a:solidFill>
                    <a:latin typeface="Arial" panose="020B0604020202020204" pitchFamily="34" charset="0"/>
                    <a:ea typeface="+mn-ea"/>
                    <a:cs typeface="Arial" panose="020B0604020202020204" pitchFamily="34" charset="0"/>
                  </a:defRPr>
                </a:pPr>
                <a:endParaRPr lang="en-MN"/>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Sheet1!$A$2:$A$37</c:f>
              <c:numCache>
                <c:formatCode>m/d/yyyy</c:formatCode>
                <c:ptCount val="36"/>
                <c:pt idx="0">
                  <c:v>44362</c:v>
                </c:pt>
                <c:pt idx="1">
                  <c:v>44344</c:v>
                </c:pt>
                <c:pt idx="2">
                  <c:v>44316</c:v>
                </c:pt>
                <c:pt idx="3">
                  <c:v>44281</c:v>
                </c:pt>
                <c:pt idx="4">
                  <c:v>44253</c:v>
                </c:pt>
                <c:pt idx="5">
                  <c:v>44225</c:v>
                </c:pt>
                <c:pt idx="6">
                  <c:v>44190</c:v>
                </c:pt>
                <c:pt idx="7">
                  <c:v>44162</c:v>
                </c:pt>
                <c:pt idx="8">
                  <c:v>44134</c:v>
                </c:pt>
                <c:pt idx="9">
                  <c:v>44099</c:v>
                </c:pt>
                <c:pt idx="10">
                  <c:v>44071</c:v>
                </c:pt>
                <c:pt idx="11">
                  <c:v>44043</c:v>
                </c:pt>
                <c:pt idx="12">
                  <c:v>44008</c:v>
                </c:pt>
                <c:pt idx="13">
                  <c:v>43980</c:v>
                </c:pt>
                <c:pt idx="14">
                  <c:v>43945</c:v>
                </c:pt>
                <c:pt idx="15">
                  <c:v>43917</c:v>
                </c:pt>
                <c:pt idx="16">
                  <c:v>43889</c:v>
                </c:pt>
                <c:pt idx="17">
                  <c:v>43861</c:v>
                </c:pt>
                <c:pt idx="18">
                  <c:v>43826</c:v>
                </c:pt>
                <c:pt idx="19">
                  <c:v>43798</c:v>
                </c:pt>
                <c:pt idx="20">
                  <c:v>43763</c:v>
                </c:pt>
                <c:pt idx="21">
                  <c:v>43735</c:v>
                </c:pt>
                <c:pt idx="22">
                  <c:v>43707</c:v>
                </c:pt>
                <c:pt idx="23">
                  <c:v>43672</c:v>
                </c:pt>
                <c:pt idx="24">
                  <c:v>43644</c:v>
                </c:pt>
                <c:pt idx="25">
                  <c:v>43616</c:v>
                </c:pt>
                <c:pt idx="26">
                  <c:v>43581</c:v>
                </c:pt>
                <c:pt idx="27">
                  <c:v>43553</c:v>
                </c:pt>
                <c:pt idx="28">
                  <c:v>43518</c:v>
                </c:pt>
                <c:pt idx="29">
                  <c:v>43490</c:v>
                </c:pt>
                <c:pt idx="30">
                  <c:v>44407</c:v>
                </c:pt>
                <c:pt idx="31">
                  <c:v>44439</c:v>
                </c:pt>
                <c:pt idx="32">
                  <c:v>44469</c:v>
                </c:pt>
                <c:pt idx="33">
                  <c:v>44498</c:v>
                </c:pt>
                <c:pt idx="34">
                  <c:v>44530</c:v>
                </c:pt>
                <c:pt idx="35">
                  <c:v>44561</c:v>
                </c:pt>
              </c:numCache>
            </c:numRef>
          </c:cat>
          <c:val>
            <c:numRef>
              <c:f>Sheet1!$E$2:$E$37</c:f>
              <c:numCache>
                <c:formatCode>General</c:formatCode>
                <c:ptCount val="36"/>
                <c:pt idx="0">
                  <c:v>3.49</c:v>
                </c:pt>
                <c:pt idx="1">
                  <c:v>3.5129999999999999</c:v>
                </c:pt>
                <c:pt idx="2">
                  <c:v>3.5219999999999998</c:v>
                </c:pt>
                <c:pt idx="3">
                  <c:v>3.6320000000000001</c:v>
                </c:pt>
                <c:pt idx="4">
                  <c:v>3.1560000000000001</c:v>
                </c:pt>
                <c:pt idx="5">
                  <c:v>3.6840000000000002</c:v>
                </c:pt>
                <c:pt idx="6">
                  <c:v>3.758</c:v>
                </c:pt>
                <c:pt idx="7">
                  <c:v>3.9359999999999999</c:v>
                </c:pt>
                <c:pt idx="8">
                  <c:v>4.41</c:v>
                </c:pt>
                <c:pt idx="30">
                  <c:v>3.8660000000000001</c:v>
                </c:pt>
                <c:pt idx="31">
                  <c:v>3.8279999999999998</c:v>
                </c:pt>
                <c:pt idx="32">
                  <c:v>3.92</c:v>
                </c:pt>
                <c:pt idx="33">
                  <c:v>4.2030000000000003</c:v>
                </c:pt>
                <c:pt idx="34">
                  <c:v>4.5410000000000004</c:v>
                </c:pt>
                <c:pt idx="35">
                  <c:v>4.59</c:v>
                </c:pt>
              </c:numCache>
            </c:numRef>
          </c:val>
          <c:smooth val="0"/>
          <c:extLst>
            <c:ext xmlns:c16="http://schemas.microsoft.com/office/drawing/2014/chart" uri="{C3380CC4-5D6E-409C-BE32-E72D297353CC}">
              <c16:uniqueId val="{00000006-E6CC-D14D-BDC8-5B62D6667CA0}"/>
            </c:ext>
          </c:extLst>
        </c:ser>
        <c:ser>
          <c:idx val="4"/>
          <c:order val="4"/>
          <c:tx>
            <c:strRef>
              <c:f>Sheet1!$F$1</c:f>
              <c:strCache>
                <c:ptCount val="1"/>
                <c:pt idx="0">
                  <c:v>Мазаалай</c:v>
                </c:pt>
              </c:strCache>
            </c:strRef>
          </c:tx>
          <c:spPr>
            <a:ln w="12700" cap="rnd">
              <a:solidFill>
                <a:schemeClr val="accent5"/>
              </a:solidFill>
              <a:round/>
            </a:ln>
            <a:effectLst/>
          </c:spPr>
          <c:marker>
            <c:symbol val="circle"/>
            <c:size val="6"/>
            <c:spPr>
              <a:solidFill>
                <a:schemeClr val="accent5">
                  <a:lumMod val="75000"/>
                </a:schemeClr>
              </a:solidFill>
              <a:ln w="9525">
                <a:solidFill>
                  <a:schemeClr val="accent5"/>
                </a:solidFill>
                <a:headEnd type="diamond"/>
              </a:ln>
              <a:effectLst/>
            </c:spPr>
          </c:marker>
          <c:dLbls>
            <c:dLbl>
              <c:idx val="26"/>
              <c:layout>
                <c:manualLayout>
                  <c:x val="-3.900732315867924E-2"/>
                  <c:y val="-4.573733161403605E-2"/>
                </c:manualLayout>
              </c:layout>
              <c:tx>
                <c:rich>
                  <a:bodyPr rot="0" spcFirstLastPara="1" vertOverflow="ellipsis" vert="horz" wrap="square" lIns="38100" tIns="19050" rIns="38100" bIns="19050" anchor="ctr" anchorCtr="1">
                    <a:spAutoFit/>
                  </a:bodyPr>
                  <a:lstStyle/>
                  <a:p>
                    <a:pPr>
                      <a:defRPr sz="500" b="1" i="0" u="none" strike="noStrike" kern="1200" baseline="0">
                        <a:solidFill>
                          <a:srgbClr val="002060"/>
                        </a:solidFill>
                        <a:latin typeface="Arial" panose="020B0604020202020204" pitchFamily="34" charset="0"/>
                        <a:ea typeface="+mn-ea"/>
                        <a:cs typeface="Arial" panose="020B0604020202020204" pitchFamily="34" charset="0"/>
                      </a:defRPr>
                    </a:pPr>
                    <a:r>
                      <a:rPr lang="mn-MN" sz="500" b="1">
                        <a:solidFill>
                          <a:srgbClr val="002060"/>
                        </a:solidFill>
                      </a:rPr>
                      <a:t>Мазаалай</a:t>
                    </a:r>
                  </a:p>
                  <a:p>
                    <a:pPr>
                      <a:defRPr sz="500" b="1">
                        <a:solidFill>
                          <a:srgbClr val="002060"/>
                        </a:solidFill>
                      </a:defRPr>
                    </a:pPr>
                    <a:fld id="{15713CA6-53E8-4689-B956-C56D8EF83648}" type="VALUE">
                      <a:rPr lang="en-US" sz="500" b="1">
                        <a:solidFill>
                          <a:srgbClr val="002060"/>
                        </a:solidFill>
                      </a:rPr>
                      <a:pPr>
                        <a:defRPr sz="500" b="1">
                          <a:solidFill>
                            <a:srgbClr val="002060"/>
                          </a:solidFill>
                        </a:defRPr>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500" b="1" i="0" u="none" strike="noStrike" kern="1200" baseline="0">
                      <a:solidFill>
                        <a:srgbClr val="002060"/>
                      </a:solidFill>
                      <a:latin typeface="Arial" panose="020B0604020202020204" pitchFamily="34" charset="0"/>
                      <a:ea typeface="+mn-ea"/>
                      <a:cs typeface="Arial" panose="020B0604020202020204" pitchFamily="34" charset="0"/>
                    </a:defRPr>
                  </a:pPr>
                  <a:endParaRPr lang="en-MN"/>
                </a:p>
              </c:txPr>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6CC-D14D-BDC8-5B62D6667C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Sheet1!$A$2:$A$37</c:f>
              <c:numCache>
                <c:formatCode>m/d/yyyy</c:formatCode>
                <c:ptCount val="36"/>
                <c:pt idx="0">
                  <c:v>44362</c:v>
                </c:pt>
                <c:pt idx="1">
                  <c:v>44344</c:v>
                </c:pt>
                <c:pt idx="2">
                  <c:v>44316</c:v>
                </c:pt>
                <c:pt idx="3">
                  <c:v>44281</c:v>
                </c:pt>
                <c:pt idx="4">
                  <c:v>44253</c:v>
                </c:pt>
                <c:pt idx="5">
                  <c:v>44225</c:v>
                </c:pt>
                <c:pt idx="6">
                  <c:v>44190</c:v>
                </c:pt>
                <c:pt idx="7">
                  <c:v>44162</c:v>
                </c:pt>
                <c:pt idx="8">
                  <c:v>44134</c:v>
                </c:pt>
                <c:pt idx="9">
                  <c:v>44099</c:v>
                </c:pt>
                <c:pt idx="10">
                  <c:v>44071</c:v>
                </c:pt>
                <c:pt idx="11">
                  <c:v>44043</c:v>
                </c:pt>
                <c:pt idx="12">
                  <c:v>44008</c:v>
                </c:pt>
                <c:pt idx="13">
                  <c:v>43980</c:v>
                </c:pt>
                <c:pt idx="14">
                  <c:v>43945</c:v>
                </c:pt>
                <c:pt idx="15">
                  <c:v>43917</c:v>
                </c:pt>
                <c:pt idx="16">
                  <c:v>43889</c:v>
                </c:pt>
                <c:pt idx="17">
                  <c:v>43861</c:v>
                </c:pt>
                <c:pt idx="18">
                  <c:v>43826</c:v>
                </c:pt>
                <c:pt idx="19">
                  <c:v>43798</c:v>
                </c:pt>
                <c:pt idx="20">
                  <c:v>43763</c:v>
                </c:pt>
                <c:pt idx="21">
                  <c:v>43735</c:v>
                </c:pt>
                <c:pt idx="22">
                  <c:v>43707</c:v>
                </c:pt>
                <c:pt idx="23">
                  <c:v>43672</c:v>
                </c:pt>
                <c:pt idx="24">
                  <c:v>43644</c:v>
                </c:pt>
                <c:pt idx="25">
                  <c:v>43616</c:v>
                </c:pt>
                <c:pt idx="26">
                  <c:v>43581</c:v>
                </c:pt>
                <c:pt idx="27">
                  <c:v>43553</c:v>
                </c:pt>
                <c:pt idx="28">
                  <c:v>43518</c:v>
                </c:pt>
                <c:pt idx="29">
                  <c:v>43490</c:v>
                </c:pt>
                <c:pt idx="30">
                  <c:v>44407</c:v>
                </c:pt>
                <c:pt idx="31">
                  <c:v>44439</c:v>
                </c:pt>
                <c:pt idx="32">
                  <c:v>44469</c:v>
                </c:pt>
                <c:pt idx="33">
                  <c:v>44498</c:v>
                </c:pt>
                <c:pt idx="34">
                  <c:v>44530</c:v>
                </c:pt>
                <c:pt idx="35">
                  <c:v>44561</c:v>
                </c:pt>
              </c:numCache>
            </c:numRef>
          </c:cat>
          <c:val>
            <c:numRef>
              <c:f>Sheet1!$F$2:$F$37</c:f>
              <c:numCache>
                <c:formatCode>General</c:formatCode>
                <c:ptCount val="36"/>
                <c:pt idx="3">
                  <c:v>7.3070000000000004</c:v>
                </c:pt>
                <c:pt idx="4">
                  <c:v>6.0529999999999999</c:v>
                </c:pt>
                <c:pt idx="5">
                  <c:v>4.7140000000000004</c:v>
                </c:pt>
                <c:pt idx="6">
                  <c:v>1.5309999999999999</c:v>
                </c:pt>
                <c:pt idx="7">
                  <c:v>2.9249999999999998</c:v>
                </c:pt>
                <c:pt idx="8">
                  <c:v>2.8039999999999998</c:v>
                </c:pt>
                <c:pt idx="9">
                  <c:v>2.9689999999999999</c:v>
                </c:pt>
                <c:pt idx="10">
                  <c:v>4.0609999999999999</c:v>
                </c:pt>
                <c:pt idx="11">
                  <c:v>4.4569999999999999</c:v>
                </c:pt>
                <c:pt idx="12">
                  <c:v>5.8419999999999996</c:v>
                </c:pt>
                <c:pt idx="13">
                  <c:v>8.7379999999999995</c:v>
                </c:pt>
                <c:pt idx="14">
                  <c:v>12.561999999999999</c:v>
                </c:pt>
                <c:pt idx="15">
                  <c:v>12.474</c:v>
                </c:pt>
                <c:pt idx="16">
                  <c:v>4.7869999999999999</c:v>
                </c:pt>
                <c:pt idx="17">
                  <c:v>4.1050000000000004</c:v>
                </c:pt>
                <c:pt idx="18">
                  <c:v>3.5710000000000002</c:v>
                </c:pt>
                <c:pt idx="19">
                  <c:v>3.7850000000000001</c:v>
                </c:pt>
                <c:pt idx="20">
                  <c:v>4.2009999999999996</c:v>
                </c:pt>
                <c:pt idx="21">
                  <c:v>4.673</c:v>
                </c:pt>
                <c:pt idx="22">
                  <c:v>4.734</c:v>
                </c:pt>
                <c:pt idx="23">
                  <c:v>4.2060000000000004</c:v>
                </c:pt>
                <c:pt idx="24">
                  <c:v>4.2300000000000004</c:v>
                </c:pt>
              </c:numCache>
            </c:numRef>
          </c:val>
          <c:smooth val="0"/>
          <c:extLst>
            <c:ext xmlns:c16="http://schemas.microsoft.com/office/drawing/2014/chart" uri="{C3380CC4-5D6E-409C-BE32-E72D297353CC}">
              <c16:uniqueId val="{00000008-E6CC-D14D-BDC8-5B62D6667CA0}"/>
            </c:ext>
          </c:extLst>
        </c:ser>
        <c:ser>
          <c:idx val="5"/>
          <c:order val="5"/>
          <c:tx>
            <c:strRef>
              <c:f>Sheet1!$G$1</c:f>
              <c:strCache>
                <c:ptCount val="1"/>
                <c:pt idx="0">
                  <c:v>Сенчири</c:v>
                </c:pt>
              </c:strCache>
            </c:strRef>
          </c:tx>
          <c:spPr>
            <a:ln w="12700" cap="rnd">
              <a:solidFill>
                <a:schemeClr val="accent6"/>
              </a:solidFill>
              <a:round/>
            </a:ln>
            <a:effectLst/>
          </c:spPr>
          <c:marker>
            <c:symbol val="star"/>
            <c:size val="5"/>
            <c:spPr>
              <a:noFill/>
              <a:ln w="9525">
                <a:solidFill>
                  <a:schemeClr val="accent6"/>
                </a:solidFill>
              </a:ln>
              <a:effectLst/>
            </c:spPr>
          </c:marker>
          <c:dLbls>
            <c:dLbl>
              <c:idx val="35"/>
              <c:layout>
                <c:manualLayout>
                  <c:x val="-1.5088988928023694E-16"/>
                  <c:y val="-0.15875735045314457"/>
                </c:manualLayout>
              </c:layout>
              <c:tx>
                <c:rich>
                  <a:bodyPr/>
                  <a:lstStyle/>
                  <a:p>
                    <a:r>
                      <a:rPr lang="mn-MN"/>
                      <a:t>Сенчири</a:t>
                    </a:r>
                  </a:p>
                  <a:p>
                    <a:fld id="{A5C8E5BE-D46D-42CF-B5B9-888C9C9CEC88}" type="VALUE">
                      <a:rPr lang="en-US"/>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6CC-D14D-BDC8-5B62D6667CA0}"/>
                </c:ext>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rgbClr val="00B050"/>
                    </a:solidFill>
                    <a:latin typeface="Arial" panose="020B0604020202020204" pitchFamily="34" charset="0"/>
                    <a:ea typeface="+mn-ea"/>
                    <a:cs typeface="Arial" panose="020B0604020202020204" pitchFamily="34" charset="0"/>
                  </a:defRPr>
                </a:pPr>
                <a:endParaRPr lang="en-MN"/>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Sheet1!$A$2:$A$37</c:f>
              <c:numCache>
                <c:formatCode>m/d/yyyy</c:formatCode>
                <c:ptCount val="36"/>
                <c:pt idx="0">
                  <c:v>44362</c:v>
                </c:pt>
                <c:pt idx="1">
                  <c:v>44344</c:v>
                </c:pt>
                <c:pt idx="2">
                  <c:v>44316</c:v>
                </c:pt>
                <c:pt idx="3">
                  <c:v>44281</c:v>
                </c:pt>
                <c:pt idx="4">
                  <c:v>44253</c:v>
                </c:pt>
                <c:pt idx="5">
                  <c:v>44225</c:v>
                </c:pt>
                <c:pt idx="6">
                  <c:v>44190</c:v>
                </c:pt>
                <c:pt idx="7">
                  <c:v>44162</c:v>
                </c:pt>
                <c:pt idx="8">
                  <c:v>44134</c:v>
                </c:pt>
                <c:pt idx="9">
                  <c:v>44099</c:v>
                </c:pt>
                <c:pt idx="10">
                  <c:v>44071</c:v>
                </c:pt>
                <c:pt idx="11">
                  <c:v>44043</c:v>
                </c:pt>
                <c:pt idx="12">
                  <c:v>44008</c:v>
                </c:pt>
                <c:pt idx="13">
                  <c:v>43980</c:v>
                </c:pt>
                <c:pt idx="14">
                  <c:v>43945</c:v>
                </c:pt>
                <c:pt idx="15">
                  <c:v>43917</c:v>
                </c:pt>
                <c:pt idx="16">
                  <c:v>43889</c:v>
                </c:pt>
                <c:pt idx="17">
                  <c:v>43861</c:v>
                </c:pt>
                <c:pt idx="18">
                  <c:v>43826</c:v>
                </c:pt>
                <c:pt idx="19">
                  <c:v>43798</c:v>
                </c:pt>
                <c:pt idx="20">
                  <c:v>43763</c:v>
                </c:pt>
                <c:pt idx="21">
                  <c:v>43735</c:v>
                </c:pt>
                <c:pt idx="22">
                  <c:v>43707</c:v>
                </c:pt>
                <c:pt idx="23">
                  <c:v>43672</c:v>
                </c:pt>
                <c:pt idx="24">
                  <c:v>43644</c:v>
                </c:pt>
                <c:pt idx="25">
                  <c:v>43616</c:v>
                </c:pt>
                <c:pt idx="26">
                  <c:v>43581</c:v>
                </c:pt>
                <c:pt idx="27">
                  <c:v>43553</c:v>
                </c:pt>
                <c:pt idx="28">
                  <c:v>43518</c:v>
                </c:pt>
                <c:pt idx="29">
                  <c:v>43490</c:v>
                </c:pt>
                <c:pt idx="30">
                  <c:v>44407</c:v>
                </c:pt>
                <c:pt idx="31">
                  <c:v>44439</c:v>
                </c:pt>
                <c:pt idx="32">
                  <c:v>44469</c:v>
                </c:pt>
                <c:pt idx="33">
                  <c:v>44498</c:v>
                </c:pt>
                <c:pt idx="34">
                  <c:v>44530</c:v>
                </c:pt>
                <c:pt idx="35">
                  <c:v>44561</c:v>
                </c:pt>
              </c:numCache>
            </c:numRef>
          </c:cat>
          <c:val>
            <c:numRef>
              <c:f>Sheet1!$G$2:$G$37</c:f>
              <c:numCache>
                <c:formatCode>General</c:formatCode>
                <c:ptCount val="36"/>
                <c:pt idx="30">
                  <c:v>4.0579999999999998</c:v>
                </c:pt>
                <c:pt idx="31">
                  <c:v>3.8519999999999999</c:v>
                </c:pt>
                <c:pt idx="32">
                  <c:v>4.0880000000000001</c:v>
                </c:pt>
                <c:pt idx="33">
                  <c:v>4.181</c:v>
                </c:pt>
                <c:pt idx="34">
                  <c:v>4.7</c:v>
                </c:pt>
                <c:pt idx="35">
                  <c:v>4.742</c:v>
                </c:pt>
              </c:numCache>
            </c:numRef>
          </c:val>
          <c:smooth val="0"/>
          <c:extLst>
            <c:ext xmlns:c16="http://schemas.microsoft.com/office/drawing/2014/chart" uri="{C3380CC4-5D6E-409C-BE32-E72D297353CC}">
              <c16:uniqueId val="{0000000A-E6CC-D14D-BDC8-5B62D6667CA0}"/>
            </c:ext>
          </c:extLst>
        </c:ser>
        <c:dLbls>
          <c:showLegendKey val="0"/>
          <c:showVal val="0"/>
          <c:showCatName val="0"/>
          <c:showSerName val="0"/>
          <c:showPercent val="0"/>
          <c:showBubbleSize val="0"/>
        </c:dLbls>
        <c:marker val="1"/>
        <c:smooth val="0"/>
        <c:axId val="954644223"/>
        <c:axId val="954644639"/>
      </c:lineChart>
      <c:dateAx>
        <c:axId val="954644223"/>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crossAx val="954644639"/>
        <c:crosses val="autoZero"/>
        <c:auto val="1"/>
        <c:lblOffset val="100"/>
        <c:baseTimeUnit val="days"/>
        <c:majorUnit val="1"/>
        <c:majorTimeUnit val="months"/>
      </c:dateAx>
      <c:valAx>
        <c:axId val="9546446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crossAx val="954644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M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M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dk1"/>
                </a:solidFill>
                <a:latin typeface="Arial" panose="020B0604020202020204" pitchFamily="34" charset="0"/>
                <a:ea typeface="+mn-ea"/>
                <a:cs typeface="Arial" panose="020B0604020202020204" pitchFamily="34" charset="0"/>
              </a:defRPr>
            </a:pPr>
            <a:r>
              <a:rPr lang="mn-MN" sz="1050"/>
              <a:t>Нийт</a:t>
            </a:r>
            <a:r>
              <a:rPr lang="en-US" sz="1050"/>
              <a:t>: 16,51</a:t>
            </a:r>
            <a:r>
              <a:rPr lang="mn-MN" sz="1050"/>
              <a:t>7</a:t>
            </a:r>
            <a:r>
              <a:rPr lang="en-US" sz="1050"/>
              <a:t>.</a:t>
            </a:r>
            <a:r>
              <a:rPr lang="mn-MN" sz="1050"/>
              <a:t>1</a:t>
            </a:r>
            <a:r>
              <a:rPr lang="en-US" sz="1050"/>
              <a:t> </a:t>
            </a:r>
            <a:r>
              <a:rPr lang="mn-MN" sz="1050"/>
              <a:t>тэрбум төгрөг</a:t>
            </a:r>
            <a:endParaRPr lang="en-US" sz="1050"/>
          </a:p>
        </c:rich>
      </c:tx>
      <c:layout>
        <c:manualLayout>
          <c:xMode val="edge"/>
          <c:yMode val="edge"/>
          <c:x val="0.1676045116856541"/>
          <c:y val="2.878736490883924E-3"/>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dk1"/>
              </a:solidFill>
              <a:latin typeface="Arial" panose="020B0604020202020204" pitchFamily="34" charset="0"/>
              <a:ea typeface="+mn-ea"/>
              <a:cs typeface="Arial" panose="020B0604020202020204" pitchFamily="34" charset="0"/>
            </a:defRPr>
          </a:pPr>
          <a:endParaRPr lang="en-MN"/>
        </a:p>
      </c:txPr>
    </c:title>
    <c:autoTitleDeleted val="0"/>
    <c:plotArea>
      <c:layout>
        <c:manualLayout>
          <c:layoutTarget val="inner"/>
          <c:xMode val="edge"/>
          <c:yMode val="edge"/>
          <c:x val="0.11802007855540816"/>
          <c:y val="0.2410954351529857"/>
          <c:w val="0.74049668005483349"/>
          <c:h val="0.7589045648470143"/>
        </c:manualLayout>
      </c:layout>
      <c:doughnut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5A-4348-B3C2-122E33E294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5A-4348-B3C2-122E33E2941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5A-4348-B3C2-122E33E2941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5A-4348-B3C2-122E33E2941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15A-4348-B3C2-122E33E2941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15A-4348-B3C2-122E33E2941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15A-4348-B3C2-122E33E29413}"/>
              </c:ext>
            </c:extLst>
          </c:dPt>
          <c:dLbls>
            <c:dLbl>
              <c:idx val="0"/>
              <c:layout>
                <c:manualLayout>
                  <c:x val="-8.9826205819176011E-2"/>
                  <c:y val="-9.5785440613026823E-2"/>
                </c:manualLayout>
              </c:layout>
              <c:tx>
                <c:rich>
                  <a:bodyPr/>
                  <a:lstStyle/>
                  <a:p>
                    <a:fld id="{653F6FE1-BE2C-4452-AAB1-F4EDD1161C2B}" type="CATEGORYNAME">
                      <a:rPr lang="en-US" sz="700"/>
                      <a:pPr/>
                      <a:t>[CATEGORY NAME]</a:t>
                    </a:fld>
                    <a:br>
                      <a:rPr lang="en-US" sz="700"/>
                    </a:br>
                    <a:fld id="{945604AD-6236-477D-8867-A613A1E662A7}" type="VALUE">
                      <a:rPr lang="en-US" sz="700"/>
                      <a:pPr/>
                      <a:t>[VALUE]</a:t>
                    </a:fld>
                    <a:endParaRPr lang="en-US" sz="70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15A-4348-B3C2-122E33E29413}"/>
                </c:ext>
              </c:extLst>
            </c:dLbl>
            <c:dLbl>
              <c:idx val="1"/>
              <c:layout>
                <c:manualLayout>
                  <c:x val="0.12888107791446984"/>
                  <c:y val="-8.6206896551724144E-2"/>
                </c:manualLayout>
              </c:layout>
              <c:tx>
                <c:rich>
                  <a:bodyPr/>
                  <a:lstStyle/>
                  <a:p>
                    <a:fld id="{7A8BC717-BDD1-4A05-8513-1D0D4F676EB0}" type="CATEGORYNAME">
                      <a:rPr lang="en-US" sz="700"/>
                      <a:pPr/>
                      <a:t>[CATEGORY NAME]</a:t>
                    </a:fld>
                    <a:br>
                      <a:rPr lang="en-US" sz="700"/>
                    </a:br>
                    <a:fld id="{0EA354D5-9792-447C-9379-AC128C743731}" type="VALUE">
                      <a:rPr lang="en-US" sz="700"/>
                      <a:pPr/>
                      <a:t>[VALUE]</a:t>
                    </a:fld>
                    <a:endParaRPr lang="en-US" sz="70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15A-4348-B3C2-122E33E29413}"/>
                </c:ext>
              </c:extLst>
            </c:dLbl>
            <c:dLbl>
              <c:idx val="2"/>
              <c:layout>
                <c:manualLayout>
                  <c:x val="0.17423301322435569"/>
                  <c:y val="-0.15172245345761989"/>
                </c:manualLayout>
              </c:layout>
              <c:tx>
                <c:rich>
                  <a:bodyPr/>
                  <a:lstStyle/>
                  <a:p>
                    <a:fld id="{8C4CD1E4-E71E-4760-BB47-FC478B99951F}" type="CATEGORYNAME">
                      <a:rPr lang="en-US" sz="700"/>
                      <a:pPr/>
                      <a:t>[CATEGORY NAME]</a:t>
                    </a:fld>
                    <a:br>
                      <a:rPr lang="en-US" sz="700"/>
                    </a:br>
                    <a:fld id="{DB3A2292-2F7B-4CBF-BB10-3EB301F0723C}" type="VALUE">
                      <a:rPr lang="en-US" sz="700"/>
                      <a:pPr/>
                      <a:t>[VALUE]</a:t>
                    </a:fld>
                    <a:endParaRPr lang="en-US" sz="70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15A-4348-B3C2-122E33E29413}"/>
                </c:ext>
              </c:extLst>
            </c:dLbl>
            <c:dLbl>
              <c:idx val="3"/>
              <c:layout>
                <c:manualLayout>
                  <c:x val="0.12888107791446984"/>
                  <c:y val="-7.6628352490421547E-2"/>
                </c:manualLayout>
              </c:layout>
              <c:tx>
                <c:rich>
                  <a:bodyPr/>
                  <a:lstStyle/>
                  <a:p>
                    <a:fld id="{D4921DC0-2DC1-45E8-8AA8-3C5F1DFD219C}" type="CATEGORYNAME">
                      <a:rPr lang="en-US" sz="700"/>
                      <a:pPr/>
                      <a:t>[CATEGORY NAME]</a:t>
                    </a:fld>
                    <a:br>
                      <a:rPr lang="en-US" sz="700"/>
                    </a:br>
                    <a:fld id="{B4452A57-205E-4499-B684-C590593AE6D3}" type="VALUE">
                      <a:rPr lang="en-US" sz="700"/>
                      <a:pPr/>
                      <a:t>[VALUE]</a:t>
                    </a:fld>
                    <a:endParaRPr lang="en-US" sz="70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15A-4348-B3C2-122E33E29413}"/>
                </c:ext>
              </c:extLst>
            </c:dLbl>
            <c:dLbl>
              <c:idx val="4"/>
              <c:layout>
                <c:manualLayout>
                  <c:x val="0.11325912907635227"/>
                  <c:y val="0.10536398467432942"/>
                </c:manualLayout>
              </c:layout>
              <c:tx>
                <c:rich>
                  <a:bodyPr/>
                  <a:lstStyle/>
                  <a:p>
                    <a:fld id="{82C9E57F-037A-4FC5-9244-E4006858B29A}" type="CATEGORYNAME">
                      <a:rPr lang="en-US" sz="700"/>
                      <a:pPr/>
                      <a:t>[CATEGORY NAME]</a:t>
                    </a:fld>
                    <a:br>
                      <a:rPr lang="en-US" sz="700"/>
                    </a:br>
                    <a:fld id="{695FE620-7C42-4CFB-89AE-1EFC8A5F7687}" type="VALUE">
                      <a:rPr lang="en-US" sz="700"/>
                      <a:pPr/>
                      <a:t>[VALUE]</a:t>
                    </a:fld>
                    <a:endParaRPr lang="en-US" sz="70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15A-4348-B3C2-122E33E29413}"/>
                </c:ext>
              </c:extLst>
            </c:dLbl>
            <c:dLbl>
              <c:idx val="5"/>
              <c:layout>
                <c:manualLayout>
                  <c:x val="-0.39835969537199772"/>
                  <c:y val="8.141762452107279E-2"/>
                </c:manualLayout>
              </c:layout>
              <c:tx>
                <c:rich>
                  <a:bodyPr/>
                  <a:lstStyle/>
                  <a:p>
                    <a:fld id="{E7795040-7682-4876-A7EC-34F3CB6A0E1C}" type="CATEGORYNAME">
                      <a:rPr lang="en-US" sz="700"/>
                      <a:pPr/>
                      <a:t>[CATEGORY NAME]</a:t>
                    </a:fld>
                    <a:br>
                      <a:rPr lang="en-US" sz="700"/>
                    </a:br>
                    <a:fld id="{7877866E-61F9-495A-952A-A62A94EC9B1C}" type="VALUE">
                      <a:rPr lang="en-US" sz="700"/>
                      <a:pPr/>
                      <a:t>[VALUE]</a:t>
                    </a:fld>
                    <a:endParaRPr lang="en-US" sz="70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15A-4348-B3C2-122E33E29413}"/>
                </c:ext>
              </c:extLst>
            </c:dLbl>
            <c:dLbl>
              <c:idx val="6"/>
              <c:layout>
                <c:manualLayout>
                  <c:x val="-0.14450302675258739"/>
                  <c:y val="-4.7892720306513412E-2"/>
                </c:manualLayout>
              </c:layout>
              <c:tx>
                <c:rich>
                  <a:bodyPr/>
                  <a:lstStyle/>
                  <a:p>
                    <a:fld id="{5AD4C641-A897-4997-A1F5-C2F2091DA53B}" type="CATEGORYNAME">
                      <a:rPr lang="en-US" sz="700"/>
                      <a:pPr/>
                      <a:t>[CATEGORY NAME]</a:t>
                    </a:fld>
                    <a:br>
                      <a:rPr lang="en-US" sz="700"/>
                    </a:br>
                    <a:fld id="{5BDA37F5-74DD-4BBB-AA6C-93C4DEE310A2}" type="VALUE">
                      <a:rPr lang="en-US" sz="700"/>
                      <a:pPr/>
                      <a:t>[VALUE]</a:t>
                    </a:fld>
                    <a:endParaRPr lang="en-US" sz="70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F15A-4348-B3C2-122E33E29413}"/>
                </c:ext>
              </c:extLst>
            </c:dLbl>
            <c:spPr>
              <a:noFill/>
              <a:ln>
                <a:noFill/>
              </a:ln>
              <a:effectLst>
                <a:softEdge rad="0"/>
              </a:effectLst>
            </c:spPr>
            <c:txPr>
              <a:bodyPr rot="0" spcFirstLastPara="1" vertOverflow="ellipsis" vert="horz" wrap="square" anchor="ctr" anchorCtr="1"/>
              <a:lstStyle/>
              <a:p>
                <a:pPr>
                  <a:defRPr sz="900" b="1" i="0" u="none" strike="noStrike" kern="1200" baseline="0">
                    <a:solidFill>
                      <a:schemeClr val="dk1"/>
                    </a:solidFill>
                    <a:latin typeface="Arial" panose="020B0604020202020204" pitchFamily="34" charset="0"/>
                    <a:ea typeface="+mn-ea"/>
                    <a:cs typeface="Arial" panose="020B0604020202020204" pitchFamily="34" charset="0"/>
                  </a:defRPr>
                </a:pPr>
                <a:endParaRPr lang="en-M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AED</c:v>
                </c:pt>
                <c:pt idx="1">
                  <c:v>EUR</c:v>
                </c:pt>
                <c:pt idx="2">
                  <c:v>JPY</c:v>
                </c:pt>
                <c:pt idx="3">
                  <c:v>KRW</c:v>
                </c:pt>
                <c:pt idx="4">
                  <c:v>KWD</c:v>
                </c:pt>
                <c:pt idx="5">
                  <c:v>SDR</c:v>
                </c:pt>
                <c:pt idx="6">
                  <c:v>USD</c:v>
                </c:pt>
              </c:strCache>
            </c:strRef>
          </c:cat>
          <c:val>
            <c:numRef>
              <c:f>Sheet1!$B$2:$B$8</c:f>
              <c:numCache>
                <c:formatCode>0.0</c:formatCode>
                <c:ptCount val="7"/>
                <c:pt idx="0">
                  <c:v>5.1422280000000002</c:v>
                </c:pt>
                <c:pt idx="1">
                  <c:v>928.81242766522439</c:v>
                </c:pt>
                <c:pt idx="2">
                  <c:v>3614.1752370107597</c:v>
                </c:pt>
                <c:pt idx="3">
                  <c:v>262.57900932000001</c:v>
                </c:pt>
                <c:pt idx="4">
                  <c:v>60.734310029072709</c:v>
                </c:pt>
                <c:pt idx="5">
                  <c:v>4101.643562754607</c:v>
                </c:pt>
                <c:pt idx="6">
                  <c:v>7499.8197850651213</c:v>
                </c:pt>
              </c:numCache>
            </c:numRef>
          </c:val>
          <c:extLst>
            <c:ext xmlns:c16="http://schemas.microsoft.com/office/drawing/2014/chart" uri="{C3380CC4-5D6E-409C-BE32-E72D297353CC}">
              <c16:uniqueId val="{0000000E-F15A-4348-B3C2-122E33E29413}"/>
            </c:ext>
          </c:extLst>
        </c:ser>
        <c:dLbls>
          <c:showLegendKey val="0"/>
          <c:showVal val="0"/>
          <c:showCatName val="0"/>
          <c:showSerName val="0"/>
          <c:showPercent val="0"/>
          <c:showBubbleSize val="0"/>
          <c:showLeaderLines val="1"/>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2700" cap="flat" cmpd="sng" algn="ctr">
      <a:noFill/>
      <a:prstDash val="solid"/>
      <a:miter lim="800000"/>
    </a:ln>
    <a:effectLst/>
  </c:spPr>
  <c:txPr>
    <a:bodyPr/>
    <a:lstStyle/>
    <a:p>
      <a:pPr>
        <a:defRPr>
          <a:solidFill>
            <a:schemeClr val="dk1"/>
          </a:solidFill>
          <a:latin typeface="Arial" panose="020B0604020202020204" pitchFamily="34" charset="0"/>
          <a:ea typeface="+mn-ea"/>
          <a:cs typeface="Arial" panose="020B0604020202020204" pitchFamily="34" charset="0"/>
        </a:defRPr>
      </a:pPr>
      <a:endParaRPr lang="en-M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11491450492489"/>
          <c:y val="0.16368130858519822"/>
          <c:w val="0.80062816428336014"/>
          <c:h val="0.65414825319460757"/>
        </c:manualLayout>
      </c:layout>
      <c:scatterChart>
        <c:scatterStyle val="lineMarker"/>
        <c:varyColors val="0"/>
        <c:ser>
          <c:idx val="0"/>
          <c:order val="0"/>
          <c:tx>
            <c:strRef>
              <c:f>Tables!$C$192</c:f>
              <c:strCache>
                <c:ptCount val="1"/>
                <c:pt idx="0">
                  <c:v>S1</c:v>
                </c:pt>
              </c:strCache>
            </c:strRef>
          </c:tx>
          <c:spPr>
            <a:ln w="25400">
              <a:noFill/>
            </a:ln>
            <a:effectLst/>
          </c:spPr>
          <c:marker>
            <c:symbol val="circle"/>
            <c:size val="5"/>
            <c:spPr>
              <a:solidFill>
                <a:srgbClr val="4B8CAD"/>
              </a:solidFill>
              <a:ln w="9525">
                <a:noFill/>
              </a:ln>
            </c:spPr>
          </c:marker>
          <c:dLbls>
            <c:spPr>
              <a:noFill/>
              <a:ln w="25400">
                <a:noFill/>
              </a:ln>
            </c:spPr>
            <c:txPr>
              <a:bodyPr/>
              <a:lstStyle/>
              <a:p>
                <a:pPr>
                  <a:defRPr sz="1100" b="0" i="0" u="none" strike="noStrike" baseline="0">
                    <a:solidFill>
                      <a:srgbClr val="000000"/>
                    </a:solidFill>
                    <a:latin typeface="Segoe UI"/>
                    <a:ea typeface="Segoe UI"/>
                    <a:cs typeface="Segoe UI"/>
                  </a:defRPr>
                </a:pPr>
                <a:endParaRPr lang="en-MN"/>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Tables!$C$198</c:f>
              <c:numCache>
                <c:formatCode>0.0_);[Red]\(0.0\)</c:formatCode>
                <c:ptCount val="1"/>
                <c:pt idx="0">
                  <c:v>1.2925131981567923</c:v>
                </c:pt>
              </c:numCache>
            </c:numRef>
          </c:xVal>
          <c:yVal>
            <c:numRef>
              <c:f>Tables!$C$193</c:f>
              <c:numCache>
                <c:formatCode>0.0_);[Red]\(0.0\)</c:formatCode>
                <c:ptCount val="1"/>
                <c:pt idx="0">
                  <c:v>2.438445731075864</c:v>
                </c:pt>
              </c:numCache>
            </c:numRef>
          </c:yVal>
          <c:smooth val="0"/>
          <c:extLst>
            <c:ext xmlns:c16="http://schemas.microsoft.com/office/drawing/2014/chart" uri="{C3380CC4-5D6E-409C-BE32-E72D297353CC}">
              <c16:uniqueId val="{00000000-C8B6-DF41-8048-1DFBCEFB54EF}"/>
            </c:ext>
          </c:extLst>
        </c:ser>
        <c:ser>
          <c:idx val="1"/>
          <c:order val="1"/>
          <c:tx>
            <c:strRef>
              <c:f>Tables!$D$192</c:f>
              <c:strCache>
                <c:ptCount val="1"/>
                <c:pt idx="0">
                  <c:v>S2</c:v>
                </c:pt>
              </c:strCache>
            </c:strRef>
          </c:tx>
          <c:spPr>
            <a:ln w="25400">
              <a:noFill/>
            </a:ln>
            <a:effectLst/>
          </c:spPr>
          <c:marker>
            <c:symbol val="diamond"/>
            <c:size val="5"/>
            <c:spPr>
              <a:solidFill>
                <a:srgbClr val="C00000"/>
              </a:solidFill>
              <a:ln w="9525">
                <a:noFill/>
              </a:ln>
            </c:spPr>
          </c:marker>
          <c:dLbls>
            <c:spPr>
              <a:noFill/>
              <a:ln w="25400">
                <a:noFill/>
              </a:ln>
            </c:spPr>
            <c:txPr>
              <a:bodyPr/>
              <a:lstStyle/>
              <a:p>
                <a:pPr>
                  <a:defRPr sz="1100" b="0" i="0" u="none" strike="noStrike" baseline="0">
                    <a:solidFill>
                      <a:srgbClr val="000000"/>
                    </a:solidFill>
                    <a:latin typeface="Segoe UI"/>
                    <a:ea typeface="Segoe UI"/>
                    <a:cs typeface="Segoe UI"/>
                  </a:defRPr>
                </a:pPr>
                <a:endParaRPr lang="en-MN"/>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Tables!$D$198</c:f>
              <c:numCache>
                <c:formatCode>0.0_);[Red]\(0.0\)</c:formatCode>
                <c:ptCount val="1"/>
                <c:pt idx="0">
                  <c:v>1.3790332725251826</c:v>
                </c:pt>
              </c:numCache>
            </c:numRef>
          </c:xVal>
          <c:yVal>
            <c:numRef>
              <c:f>Tables!$D$193</c:f>
              <c:numCache>
                <c:formatCode>0.0_);[Red]\(0.0\)</c:formatCode>
                <c:ptCount val="1"/>
                <c:pt idx="0">
                  <c:v>2.5208431538011906</c:v>
                </c:pt>
              </c:numCache>
            </c:numRef>
          </c:yVal>
          <c:smooth val="0"/>
          <c:extLst>
            <c:ext xmlns:c16="http://schemas.microsoft.com/office/drawing/2014/chart" uri="{C3380CC4-5D6E-409C-BE32-E72D297353CC}">
              <c16:uniqueId val="{00000001-C8B6-DF41-8048-1DFBCEFB54EF}"/>
            </c:ext>
          </c:extLst>
        </c:ser>
        <c:ser>
          <c:idx val="3"/>
          <c:order val="2"/>
          <c:tx>
            <c:strRef>
              <c:f>Tables!$E$192</c:f>
              <c:strCache>
                <c:ptCount val="1"/>
                <c:pt idx="0">
                  <c:v>S3</c:v>
                </c:pt>
              </c:strCache>
            </c:strRef>
          </c:tx>
          <c:spPr>
            <a:ln w="25400">
              <a:noFill/>
            </a:ln>
            <a:effectLst/>
          </c:spPr>
          <c:marker>
            <c:symbol val="square"/>
            <c:size val="5"/>
            <c:spPr>
              <a:solidFill>
                <a:srgbClr val="231F20"/>
              </a:solidFill>
              <a:ln w="9525">
                <a:noFill/>
              </a:ln>
            </c:spPr>
          </c:marker>
          <c:dLbls>
            <c:spPr>
              <a:noFill/>
              <a:ln w="25400">
                <a:noFill/>
              </a:ln>
            </c:spPr>
            <c:txPr>
              <a:bodyPr/>
              <a:lstStyle/>
              <a:p>
                <a:pPr>
                  <a:defRPr sz="1000" b="0" i="0" u="none" strike="noStrike" baseline="0">
                    <a:solidFill>
                      <a:srgbClr val="000000"/>
                    </a:solidFill>
                    <a:latin typeface="Segoe UI"/>
                    <a:ea typeface="Segoe UI"/>
                    <a:cs typeface="Segoe UI"/>
                  </a:defRPr>
                </a:pPr>
                <a:endParaRPr lang="en-MN"/>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Tables!$E$198</c:f>
              <c:numCache>
                <c:formatCode>0.0_);[Red]\(0.0\)</c:formatCode>
                <c:ptCount val="1"/>
                <c:pt idx="0">
                  <c:v>1.5526917094056905</c:v>
                </c:pt>
              </c:numCache>
            </c:numRef>
          </c:xVal>
          <c:yVal>
            <c:numRef>
              <c:f>Tables!$E$193</c:f>
              <c:numCache>
                <c:formatCode>0.0_);[Red]\(0.0\)</c:formatCode>
                <c:ptCount val="1"/>
                <c:pt idx="0">
                  <c:v>2.7727610483772485</c:v>
                </c:pt>
              </c:numCache>
            </c:numRef>
          </c:yVal>
          <c:smooth val="0"/>
          <c:extLst>
            <c:ext xmlns:c16="http://schemas.microsoft.com/office/drawing/2014/chart" uri="{C3380CC4-5D6E-409C-BE32-E72D297353CC}">
              <c16:uniqueId val="{00000002-C8B6-DF41-8048-1DFBCEFB54EF}"/>
            </c:ext>
          </c:extLst>
        </c:ser>
        <c:ser>
          <c:idx val="2"/>
          <c:order val="3"/>
          <c:tx>
            <c:strRef>
              <c:f>Tables!$F$192</c:f>
              <c:strCache>
                <c:ptCount val="1"/>
                <c:pt idx="0">
                  <c:v>S4</c:v>
                </c:pt>
              </c:strCache>
            </c:strRef>
          </c:tx>
          <c:spPr>
            <a:ln w="25400">
              <a:noFill/>
            </a:ln>
            <a:effectLst/>
          </c:spPr>
          <c:marker>
            <c:symbol val="triangle"/>
            <c:size val="5"/>
            <c:spPr>
              <a:solidFill>
                <a:srgbClr val="96BA79"/>
              </a:solidFill>
              <a:ln w="9525">
                <a:noFill/>
              </a:ln>
            </c:spPr>
          </c:marker>
          <c:dLbls>
            <c:spPr>
              <a:noFill/>
              <a:ln w="25400">
                <a:noFill/>
              </a:ln>
            </c:spPr>
            <c:txPr>
              <a:bodyPr/>
              <a:lstStyle/>
              <a:p>
                <a:pPr>
                  <a:defRPr sz="1000" b="0" i="0" u="none" strike="noStrike" baseline="0">
                    <a:solidFill>
                      <a:srgbClr val="000000"/>
                    </a:solidFill>
                    <a:latin typeface="Segoe UI"/>
                    <a:ea typeface="Segoe UI"/>
                    <a:cs typeface="Segoe UI"/>
                  </a:defRPr>
                </a:pPr>
                <a:endParaRPr lang="en-MN"/>
              </a:p>
            </c:txPr>
            <c:dLblPos val="l"/>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Tables!$F$198</c:f>
              <c:numCache>
                <c:formatCode>0.0_);[Red]\(0.0\)</c:formatCode>
                <c:ptCount val="1"/>
                <c:pt idx="0">
                  <c:v>1.9490417612057347</c:v>
                </c:pt>
              </c:numCache>
            </c:numRef>
          </c:xVal>
          <c:yVal>
            <c:numRef>
              <c:f>Tables!$F$193</c:f>
              <c:numCache>
                <c:formatCode>0.0_);[Red]\(0.0\)</c:formatCode>
                <c:ptCount val="1"/>
                <c:pt idx="0">
                  <c:v>2.9064093369028918</c:v>
                </c:pt>
              </c:numCache>
            </c:numRef>
          </c:yVal>
          <c:smooth val="0"/>
          <c:extLst>
            <c:ext xmlns:c16="http://schemas.microsoft.com/office/drawing/2014/chart" uri="{C3380CC4-5D6E-409C-BE32-E72D297353CC}">
              <c16:uniqueId val="{00000003-C8B6-DF41-8048-1DFBCEFB54EF}"/>
            </c:ext>
          </c:extLst>
        </c:ser>
        <c:dLbls>
          <c:showLegendKey val="0"/>
          <c:showVal val="0"/>
          <c:showCatName val="0"/>
          <c:showSerName val="0"/>
          <c:showPercent val="0"/>
          <c:showBubbleSize val="0"/>
        </c:dLbls>
        <c:axId val="366827920"/>
        <c:axId val="366828312"/>
      </c:scatterChart>
      <c:valAx>
        <c:axId val="366827920"/>
        <c:scaling>
          <c:orientation val="minMax"/>
          <c:min val="1.2"/>
        </c:scaling>
        <c:delete val="0"/>
        <c:axPos val="b"/>
        <c:title>
          <c:tx>
            <c:rich>
              <a:bodyPr/>
              <a:lstStyle/>
              <a:p>
                <a:pPr>
                  <a:defRPr sz="1000" b="1" i="0" u="none" strike="noStrike" baseline="0">
                    <a:solidFill>
                      <a:srgbClr val="000000"/>
                    </a:solidFill>
                    <a:latin typeface="Arial" panose="020B0604020202020204" pitchFamily="34" charset="0"/>
                    <a:ea typeface="Calibri"/>
                    <a:cs typeface="Arial" panose="020B0604020202020204" pitchFamily="34" charset="0"/>
                  </a:defRPr>
                </a:pPr>
                <a:r>
                  <a:rPr lang="mn-MN" b="0">
                    <a:latin typeface="Arial" panose="020B0604020202020204" pitchFamily="34" charset="0"/>
                    <a:cs typeface="Arial" panose="020B0604020202020204" pitchFamily="34" charset="0"/>
                  </a:rPr>
                  <a:t>Эрсдэл</a:t>
                </a:r>
                <a:r>
                  <a:rPr lang="en-US" b="0">
                    <a:latin typeface="Arial" panose="020B0604020202020204" pitchFamily="34" charset="0"/>
                    <a:cs typeface="Arial" panose="020B0604020202020204" pitchFamily="34" charset="0"/>
                  </a:rPr>
                  <a:t> </a:t>
                </a:r>
              </a:p>
            </c:rich>
          </c:tx>
          <c:layout>
            <c:manualLayout>
              <c:xMode val="edge"/>
              <c:yMode val="edge"/>
              <c:x val="0.48434458278527748"/>
              <c:y val="0.90543782027246456"/>
            </c:manualLayout>
          </c:layout>
          <c:overlay val="0"/>
        </c:title>
        <c:numFmt formatCode="#,##0.0" sourceLinked="0"/>
        <c:majorTickMark val="in"/>
        <c:minorTickMark val="none"/>
        <c:tickLblPos val="nextTo"/>
        <c:txPr>
          <a:bodyPr rot="0" vert="horz"/>
          <a:lstStyle/>
          <a:p>
            <a:pPr>
              <a:defRPr/>
            </a:pPr>
            <a:endParaRPr lang="en-MN"/>
          </a:p>
        </c:txPr>
        <c:crossAx val="366828312"/>
        <c:crosses val="autoZero"/>
        <c:crossBetween val="midCat"/>
      </c:valAx>
      <c:valAx>
        <c:axId val="366828312"/>
        <c:scaling>
          <c:orientation val="minMax"/>
        </c:scaling>
        <c:delete val="0"/>
        <c:axPos val="l"/>
        <c:numFmt formatCode="#,##0.0" sourceLinked="0"/>
        <c:majorTickMark val="in"/>
        <c:minorTickMark val="none"/>
        <c:tickLblPos val="nextTo"/>
        <c:spPr>
          <a:ln w="3175">
            <a:solidFill>
              <a:srgbClr val="B3B3B3"/>
            </a:solidFill>
            <a:prstDash val="solid"/>
          </a:ln>
        </c:spPr>
        <c:txPr>
          <a:bodyPr rot="0" vert="horz"/>
          <a:lstStyle/>
          <a:p>
            <a:pPr>
              <a:defRPr sz="1000" b="0" i="0" u="none" strike="noStrike" baseline="0">
                <a:solidFill>
                  <a:srgbClr val="000000"/>
                </a:solidFill>
                <a:latin typeface="Segoe UI"/>
                <a:ea typeface="Segoe UI"/>
                <a:cs typeface="Segoe UI"/>
              </a:defRPr>
            </a:pPr>
            <a:endParaRPr lang="en-MN"/>
          </a:p>
        </c:txPr>
        <c:crossAx val="366827920"/>
        <c:crossesAt val="0"/>
        <c:crossBetween val="midCat"/>
      </c:valAx>
      <c:spPr>
        <a:solidFill>
          <a:srgbClr val="FFFFFF"/>
        </a:solidFill>
        <a:ln w="3175">
          <a:solidFill>
            <a:srgbClr val="B3B3B3"/>
          </a:solidFill>
          <a:prstDash val="solid"/>
        </a:ln>
      </c:spPr>
    </c:plotArea>
    <c:plotVisOnly val="1"/>
    <c:dispBlanksAs val="gap"/>
    <c:showDLblsOverMax val="0"/>
  </c:chart>
  <c:spPr>
    <a:ln w="9525">
      <a:solidFill>
        <a:srgbClr val="B3B3B3"/>
      </a:solidFill>
    </a:ln>
  </c:spPr>
  <c:txPr>
    <a:bodyPr/>
    <a:lstStyle/>
    <a:p>
      <a:pPr>
        <a:defRPr sz="1000" b="0" i="0" u="none" strike="noStrike" baseline="0">
          <a:solidFill>
            <a:srgbClr val="000000"/>
          </a:solidFill>
          <a:latin typeface="Calibri"/>
          <a:ea typeface="Calibri"/>
          <a:cs typeface="Calibri"/>
        </a:defRPr>
      </a:pPr>
      <a:endParaRPr lang="en-MN"/>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0.27361</cdr:x>
      <cdr:y>0.10857</cdr:y>
    </cdr:from>
    <cdr:to>
      <cdr:x>0.66298</cdr:x>
      <cdr:y>0.77332</cdr:y>
    </cdr:to>
    <cdr:sp macro="" textlink="">
      <cdr:nvSpPr>
        <cdr:cNvPr id="2" name="Rectangle 1">
          <a:extLst xmlns:a="http://schemas.openxmlformats.org/drawingml/2006/main">
            <a:ext uri="{FF2B5EF4-FFF2-40B4-BE49-F238E27FC236}">
              <a16:creationId xmlns:a16="http://schemas.microsoft.com/office/drawing/2014/main" id="{2392EB33-27D1-457B-AF3D-18569278991C}"/>
            </a:ext>
          </a:extLst>
        </cdr:cNvPr>
        <cdr:cNvSpPr/>
      </cdr:nvSpPr>
      <cdr:spPr>
        <a:xfrm xmlns:a="http://schemas.openxmlformats.org/drawingml/2006/main">
          <a:off x="729370" y="252741"/>
          <a:ext cx="1037956" cy="1547484"/>
        </a:xfrm>
        <a:prstGeom xmlns:a="http://schemas.openxmlformats.org/drawingml/2006/main" prst="rect">
          <a:avLst/>
        </a:prstGeom>
        <a:noFill xmlns:a="http://schemas.openxmlformats.org/drawingml/2006/main"/>
        <a:ln xmlns:a="http://schemas.openxmlformats.org/drawingml/2006/main" w="19050">
          <a:solidFill>
            <a:schemeClr val="accent1"/>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30971" tIns="30256" rIns="30971" bIns="30256"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Bef>
              <a:spcPts val="265"/>
            </a:spcBef>
          </a:pPr>
          <a:endParaRPr lang="en-US" sz="530" err="1">
            <a:solidFill>
              <a:schemeClr val="bg1"/>
            </a:solidFill>
          </a:endParaRPr>
        </a:p>
      </cdr:txBody>
    </cdr:sp>
  </cdr:relSizeAnchor>
  <cdr:relSizeAnchor xmlns:cdr="http://schemas.openxmlformats.org/drawingml/2006/chartDrawing">
    <cdr:from>
      <cdr:x>0.54199</cdr:x>
      <cdr:y>0.16926</cdr:y>
    </cdr:from>
    <cdr:to>
      <cdr:x>0.66859</cdr:x>
      <cdr:y>0.43422</cdr:y>
    </cdr:to>
    <cdr:pic>
      <cdr:nvPicPr>
        <cdr:cNvPr id="3" name="Graphic 17" descr="Back">
          <a:extLst xmlns:a="http://schemas.openxmlformats.org/drawingml/2006/main">
            <a:ext uri="{FF2B5EF4-FFF2-40B4-BE49-F238E27FC236}">
              <a16:creationId xmlns:a16="http://schemas.microsoft.com/office/drawing/2014/main" id="{25BEDA9B-C71C-4393-B586-FE5444BCD5A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rot="3448569">
          <a:off x="1305141" y="533679"/>
          <a:ext cx="616803" cy="337481"/>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0.28808</cdr:x>
      <cdr:y>0.11498</cdr:y>
    </cdr:from>
    <cdr:to>
      <cdr:x>0.57504</cdr:x>
      <cdr:y>0.70502</cdr:y>
    </cdr:to>
    <cdr:sp macro="" textlink="">
      <cdr:nvSpPr>
        <cdr:cNvPr id="2" name="Rectangle 1">
          <a:extLst xmlns:a="http://schemas.openxmlformats.org/drawingml/2006/main">
            <a:ext uri="{FF2B5EF4-FFF2-40B4-BE49-F238E27FC236}">
              <a16:creationId xmlns:a16="http://schemas.microsoft.com/office/drawing/2014/main" id="{5E895A59-6C5E-4848-8000-B4BD168E9449}"/>
            </a:ext>
          </a:extLst>
        </cdr:cNvPr>
        <cdr:cNvSpPr/>
      </cdr:nvSpPr>
      <cdr:spPr>
        <a:xfrm xmlns:a="http://schemas.openxmlformats.org/drawingml/2006/main">
          <a:off x="748187" y="270292"/>
          <a:ext cx="745278" cy="1387058"/>
        </a:xfrm>
        <a:prstGeom xmlns:a="http://schemas.openxmlformats.org/drawingml/2006/main" prst="rect">
          <a:avLst/>
        </a:prstGeom>
        <a:noFill xmlns:a="http://schemas.openxmlformats.org/drawingml/2006/main"/>
        <a:ln xmlns:a="http://schemas.openxmlformats.org/drawingml/2006/main" w="19050">
          <a:solidFill>
            <a:schemeClr val="accent1"/>
          </a:solidFill>
          <a:prstDash val="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30971" tIns="30256" rIns="30971" bIns="30256"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Bef>
              <a:spcPts val="265"/>
            </a:spcBef>
          </a:pPr>
          <a:endParaRPr lang="en-US" sz="530" err="1">
            <a:solidFill>
              <a:schemeClr val="bg1"/>
            </a:solidFill>
          </a:endParaRPr>
        </a:p>
      </cdr:txBody>
    </cdr:sp>
  </cdr:relSizeAnchor>
  <cdr:relSizeAnchor xmlns:cdr="http://schemas.openxmlformats.org/drawingml/2006/chartDrawing">
    <cdr:from>
      <cdr:x>0.59904</cdr:x>
      <cdr:y>0.08432</cdr:y>
    </cdr:from>
    <cdr:to>
      <cdr:x>0.7773</cdr:x>
      <cdr:y>0.29956</cdr:y>
    </cdr:to>
    <cdr:pic>
      <cdr:nvPicPr>
        <cdr:cNvPr id="3" name="Graphic 17" descr="Back">
          <a:extLst xmlns:a="http://schemas.openxmlformats.org/drawingml/2006/main">
            <a:ext uri="{FF2B5EF4-FFF2-40B4-BE49-F238E27FC236}">
              <a16:creationId xmlns:a16="http://schemas.microsoft.com/office/drawing/2014/main" id="{3720D3C3-248D-42AF-8B7B-1858ADB4EB3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rot="3203663">
          <a:off x="1534290" y="219720"/>
          <a:ext cx="505980" cy="462968"/>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0.11761</cdr:x>
      <cdr:y>0.03586</cdr:y>
    </cdr:from>
    <cdr:to>
      <cdr:x>0.88342</cdr:x>
      <cdr:y>0.14578</cdr:y>
    </cdr:to>
    <cdr:sp macro="" textlink="">
      <cdr:nvSpPr>
        <cdr:cNvPr id="2" name="TextBox 1">
          <a:extLst xmlns:a="http://schemas.openxmlformats.org/drawingml/2006/main">
            <a:ext uri="{FF2B5EF4-FFF2-40B4-BE49-F238E27FC236}">
              <a16:creationId xmlns:a16="http://schemas.microsoft.com/office/drawing/2014/main" id="{CB6506F7-655E-4158-842D-84423CD0F672}"/>
            </a:ext>
          </a:extLst>
        </cdr:cNvPr>
        <cdr:cNvSpPr txBox="1"/>
      </cdr:nvSpPr>
      <cdr:spPr>
        <a:xfrm xmlns:a="http://schemas.openxmlformats.org/drawingml/2006/main">
          <a:off x="332486" y="77423"/>
          <a:ext cx="2164960" cy="237317"/>
        </a:xfrm>
        <a:prstGeom xmlns:a="http://schemas.openxmlformats.org/drawingml/2006/main" prst="rect">
          <a:avLst/>
        </a:prstGeom>
      </cdr:spPr>
      <cdr:txBody>
        <a:bodyPr xmlns:a="http://schemas.openxmlformats.org/drawingml/2006/main" vertOverflow="clip" wrap="none" rtlCol="0">
          <a:spAutoFit/>
        </a:bodyPr>
        <a:lstStyle xmlns:a="http://schemas.openxmlformats.org/drawingml/2006/main"/>
        <a:p xmlns:a="http://schemas.openxmlformats.org/drawingml/2006/main">
          <a:r>
            <a:rPr lang="mn-MN" sz="1100" b="0">
              <a:solidFill>
                <a:schemeClr val="tx1"/>
              </a:solidFill>
              <a:latin typeface="Arial" panose="020B0604020202020204" pitchFamily="34" charset="0"/>
              <a:cs typeface="Arial" panose="020B0604020202020204" pitchFamily="34" charset="0"/>
            </a:rPr>
            <a:t>Өрийн</a:t>
          </a:r>
          <a:r>
            <a:rPr lang="mn-MN" sz="1100" b="0" baseline="0">
              <a:solidFill>
                <a:schemeClr val="tx1"/>
              </a:solidFill>
              <a:latin typeface="Arial" panose="020B0604020202020204" pitchFamily="34" charset="0"/>
              <a:cs typeface="Arial" panose="020B0604020202020204" pitchFamily="34" charset="0"/>
            </a:rPr>
            <a:t> үйлчилгээний зардал</a:t>
          </a:r>
          <a:r>
            <a:rPr lang="en-US" sz="1100" b="0" baseline="0">
              <a:solidFill>
                <a:schemeClr val="tx1"/>
              </a:solidFill>
              <a:latin typeface="Arial" panose="020B0604020202020204" pitchFamily="34" charset="0"/>
              <a:cs typeface="Arial" panose="020B0604020202020204" pitchFamily="34" charset="0"/>
            </a:rPr>
            <a:t>/</a:t>
          </a:r>
          <a:r>
            <a:rPr lang="mn-MN" sz="1100" b="0" baseline="0">
              <a:solidFill>
                <a:schemeClr val="tx1"/>
              </a:solidFill>
              <a:latin typeface="Arial" panose="020B0604020202020204" pitchFamily="34" charset="0"/>
              <a:cs typeface="Arial" panose="020B0604020202020204" pitchFamily="34" charset="0"/>
            </a:rPr>
            <a:t>ДНБ</a:t>
          </a:r>
          <a:endParaRPr lang="en-US" sz="1100" b="0">
            <a:solidFill>
              <a:schemeClr val="tx1"/>
            </a:solidFill>
            <a:latin typeface="Arial" panose="020B0604020202020204" pitchFamily="34" charset="0"/>
            <a:cs typeface="Arial" panose="020B060402020202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0.25742</cdr:x>
      <cdr:y>0.03104</cdr:y>
    </cdr:from>
    <cdr:to>
      <cdr:x>0.85404</cdr:x>
      <cdr:y>0.14097</cdr:y>
    </cdr:to>
    <cdr:sp macro="" textlink="">
      <cdr:nvSpPr>
        <cdr:cNvPr id="2" name="TextBox 1">
          <a:extLst xmlns:a="http://schemas.openxmlformats.org/drawingml/2006/main">
            <a:ext uri="{FF2B5EF4-FFF2-40B4-BE49-F238E27FC236}">
              <a16:creationId xmlns:a16="http://schemas.microsoft.com/office/drawing/2014/main" id="{C5CD35B2-0EB9-49C9-B347-212315F43E9D}"/>
            </a:ext>
          </a:extLst>
        </cdr:cNvPr>
        <cdr:cNvSpPr txBox="1"/>
      </cdr:nvSpPr>
      <cdr:spPr>
        <a:xfrm xmlns:a="http://schemas.openxmlformats.org/drawingml/2006/main">
          <a:off x="767945" y="67037"/>
          <a:ext cx="1779855" cy="237409"/>
        </a:xfrm>
        <a:prstGeom xmlns:a="http://schemas.openxmlformats.org/drawingml/2006/main" prst="rect">
          <a:avLst/>
        </a:prstGeom>
      </cdr:spPr>
      <cdr:txBody>
        <a:bodyPr xmlns:a="http://schemas.openxmlformats.org/drawingml/2006/main" vertOverflow="clip" wrap="square" rtlCol="0">
          <a:spAutoFit/>
        </a:bodyPr>
        <a:lstStyle xmlns:a="http://schemas.openxmlformats.org/drawingml/2006/main"/>
        <a:p xmlns:a="http://schemas.openxmlformats.org/drawingml/2006/main">
          <a:r>
            <a:rPr lang="mn-MN" sz="1100" b="0">
              <a:solidFill>
                <a:schemeClr val="tx1"/>
              </a:solidFill>
              <a:latin typeface="Arial" panose="020B0604020202020204" pitchFamily="34" charset="0"/>
              <a:cs typeface="Arial" panose="020B0604020202020204" pitchFamily="34" charset="0"/>
            </a:rPr>
            <a:t>Засгийн</a:t>
          </a:r>
          <a:r>
            <a:rPr lang="mn-MN" sz="1100" b="0" baseline="0">
              <a:solidFill>
                <a:schemeClr val="tx1"/>
              </a:solidFill>
              <a:latin typeface="Arial" panose="020B0604020202020204" pitchFamily="34" charset="0"/>
              <a:cs typeface="Arial" panose="020B0604020202020204" pitchFamily="34" charset="0"/>
            </a:rPr>
            <a:t> газрын өр</a:t>
          </a:r>
          <a:r>
            <a:rPr lang="en-US" sz="1100" b="0" baseline="0">
              <a:solidFill>
                <a:schemeClr val="tx1"/>
              </a:solidFill>
              <a:latin typeface="Arial" panose="020B0604020202020204" pitchFamily="34" charset="0"/>
              <a:cs typeface="Arial" panose="020B0604020202020204" pitchFamily="34" charset="0"/>
            </a:rPr>
            <a:t>/</a:t>
          </a:r>
          <a:r>
            <a:rPr lang="mn-MN" sz="1100" b="0" baseline="0">
              <a:solidFill>
                <a:schemeClr val="tx1"/>
              </a:solidFill>
              <a:latin typeface="Arial" panose="020B0604020202020204" pitchFamily="34" charset="0"/>
              <a:cs typeface="Arial" panose="020B0604020202020204" pitchFamily="34" charset="0"/>
            </a:rPr>
            <a:t>ДНБ</a:t>
          </a:r>
          <a:endParaRPr lang="en-US" sz="1100" b="0">
            <a:solidFill>
              <a:schemeClr val="tx1"/>
            </a:solidFill>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6643</Words>
  <Characters>37868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Oyunchimeg</dc:creator>
  <cp:keywords/>
  <dc:description/>
  <cp:lastModifiedBy>Microsoft Office User</cp:lastModifiedBy>
  <cp:revision>2</cp:revision>
  <cp:lastPrinted>2022-06-21T03:04:00Z</cp:lastPrinted>
  <dcterms:created xsi:type="dcterms:W3CDTF">2022-06-28T03:55:00Z</dcterms:created>
  <dcterms:modified xsi:type="dcterms:W3CDTF">2022-06-28T03:55:00Z</dcterms:modified>
</cp:coreProperties>
</file>